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VerkSiG — Zuständigkeiten zum Erlaß von Rechtsverordnungen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 nach den §§ 1, 3 und 4 erläßt die Bundesregierung. Die Bundesregierung kann diese Befugnis durch Rechtsverordnung ohne Zustimmung des Bundesrates auf das Bundesministerium für Verkehr und digitale Infrastruktur übertragen.</w:t>
      </w:r>
    </w:p>
    <w:p>
      <w:r>
        <w:t xml:space="preserve">(2) Rechtsverordnungen nach den §§ 1, 3 und 4 erläßt das Bundesministerium für Verkehr und digitale Infrastruktur wenn die Voraussetzung des § 2 Abs. 3 vorliegt. Es kann diese Befugnis durch Rechtsverordnung ohne Zustimmung des Bundesrates auf</w:t>
      </w:r>
    </w:p>
    <w:p>
      <w:pPr>
        <w:ind w:left="420"/>
      </w:pPr>
      <w:r>
        <w:t xml:space="preserve">1. die ihm nachgeordneten Bundesober- oder -mittelbehörden,</w:t>
      </w:r>
    </w:p>
    <w:p>
      <w:pPr>
        <w:ind w:left="420"/>
      </w:pPr>
      <w:r>
        <w:t xml:space="preserve">2. die Landesregierungen, auch mit der Ermächtigung zur Weiterübertragung der Befugnis,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5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