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VerkSiG — Zuständige Verwaltungsbehörde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Verwaltungsbehörde im Sinne des § 36 Abs. 1 Nr. 1 des Gesetzes über Ordnungswidrigkeiten ist bei Zuwiderhandlungen gegen</w:t>
      </w:r>
    </w:p>
    <w:p>
      <w:pPr>
        <w:ind w:left="420"/>
      </w:pPr>
      <w:r>
        <w:t xml:space="preserve">1. Verfügungen, die auf Grund dieses Gesetzes ergangen sind, die Behörde, die die Verfügung erlassen hat,</w:t>
      </w:r>
    </w:p>
    <w:p>
      <w:pPr>
        <w:ind w:left="420"/>
      </w:pPr>
      <w:r>
        <w:t xml:space="preserve">2. eine nach den §§ 1, 3 oder 4 erlassene Rechtsverordnung oder gegen eine auf Grund einer solchen Rechtsverordnung ergangene Verfügung,</w:t>
      </w:r>
    </w:p>
    <w:p>
      <w:pPr>
        <w:ind w:left="780"/>
      </w:pPr>
      <w:r>
        <w:t xml:space="preserve">a) soweit Bundesbehörden zur Durchführung zuständig sind,</w:t>
      </w:r>
    </w:p>
    <w:p>
      <w:pPr>
        <w:ind w:left="1140"/>
      </w:pPr>
      <w:r>
        <w:t xml:space="preserve">das Bundesministerium für Verkehr und digitale Infrastruktur oder die in der Rechtsverordnung bestimmte Behörde,</w:t>
      </w:r>
    </w:p>
    <w:p>
      <w:pPr>
        <w:ind w:left="780"/>
      </w:pPr>
      <w:r>
        <w:t xml:space="preserve">b) soweit Landesbehörden zur Durchführung zuständig sind,</w:t>
      </w:r>
    </w:p>
    <w:p>
      <w:pPr>
        <w:ind w:left="1140"/>
      </w:pPr>
      <w:r>
        <w:t xml:space="preserve">die zuständige oberste Landesbehörde oder die in der Rechtsverordnung bestimmte Behörde.</w:t>
      </w:r>
    </w:p>
    <w:p>
      <w:r>
        <w:rPr>
          <w:color w:val="555555"/>
          <w:sz w:val="17"/>
        </w:rPr>
        <w:t xml:space="preserve">Zitiervorschlag: § 29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