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VerkSiG — Zuwiderhandlungen gegen Sicherstellungsmaßnahmen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Zuwiderhandlung im Sinne des Wirtschaftsstrafgesetzes 1954 begeht, wer vorsätzlich oder fahrlässig</w:t>
      </w:r>
    </w:p>
    <w:p>
      <w:pPr>
        <w:ind w:left="420"/>
      </w:pPr>
      <w:r>
        <w:t xml:space="preserve">1. gegen eine Vorschrift einer auf Grund der §§ 1, 3 oder 4 erlassenen Rechtsverordnung oder gegen eine auf Grund einer solchen Rechtsverordnung ergangene vollziehbare Verfügung verstößt, soweit die Rechtsverordnung für einen bestimmten Tatbestand auf diese Vorschrift verweist, oder</w:t>
      </w:r>
    </w:p>
    <w:p>
      <w:pPr>
        <w:ind w:left="420"/>
      </w:pPr>
      <w:r>
        <w:t xml:space="preserve">2. eine Leistung nach § 12 nicht, nicht rechtzeitig, nicht ordnungsgemäß oder nicht vollständig erbringt oder einer ihm auf Grund des § 12 auferlegten Verpflichtung zur Unterlassung zuwiderhandelt oder eine Auflage nicht erfüllt.</w:t>
      </w:r>
    </w:p>
    <w:p>
      <w:r>
        <w:rPr>
          <w:color w:val="555555"/>
          <w:sz w:val="17"/>
        </w:rPr>
        <w:t xml:space="preserve">Zitiervorschlag: § 26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