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VerkSiG — Zustellungen</w:t>
      </w:r>
    </w:p>
    <w:p>
      <w:r>
        <w:rPr>
          <w:color w:val="555555"/>
          <w:sz w:val="18"/>
        </w:rPr>
        <w:t xml:space="preserve">Verkehrssicherstellungsgesetz</w:t>
      </w:r>
    </w:p>
    <w:p>
      <w:r>
        <w:rPr>
          <w:color w:val="555555"/>
          <w:sz w:val="18"/>
        </w:rPr>
        <w:t xml:space="preserve">Stand: 10.06.2019 (konsolidierte Textfassung, kein amtliches Inkrafttretensdatum)</w:t>
      </w:r>
    </w:p>
    <w:p>
      <w:r>
        <w:t xml:space="preserve">Für Zustellungen durch die Verwaltungsbehörden gelten die Vorschriften des Verwaltungszustellungsgesetzes mit folgender Maßgabe:</w:t>
      </w:r>
    </w:p>
    <w:p>
      <w:pPr>
        <w:ind w:left="420"/>
      </w:pPr>
      <w:r>
        <w:t xml:space="preserve">1. In dringenden Fällen kann, soweit eine Zustellung gemäß den §§ 3 bis 5 des Verwaltungszustellungsgesetzes nicht möglich ist, die Zustellung auch durch schriftliche oder fernschriftliche, mündliche oder fernmündliche Mitteilung oder - auch wenn die Voraussetzungen für eine öffentliche Zustellung nach § 10 des Verwaltungszustellungsgesetzes nicht vorliegen - durch öffentliche Bekanntmachung in der Presse, im Rundfunk oder in einer sonstigen ortsüblichen und geeigneten Weise vorgenommen werden. In diesen Fällen gilt die Zustellung mit dem auf die Bekanntgabe folgenden Tag als bewirkt.</w:t>
      </w:r>
    </w:p>
    <w:p>
      <w:pPr>
        <w:ind w:left="420"/>
      </w:pPr>
      <w:r>
        <w:t xml:space="preserve">2. Zustellungen an Führer von Seeschiffen, Binnenschiffen und Luftfahrzeugen können auch durch Funkspruch vorgenommen werden. Eine Ausfertigung der Verfügung ist gleichzeitig dem Eigentümer oder Besitzer zu übermitteln.</w:t>
      </w:r>
    </w:p>
    <w:p>
      <w:r>
        <w:rPr>
          <w:color w:val="555555"/>
          <w:sz w:val="17"/>
        </w:rPr>
        <w:t xml:space="preserve">Zitiervorschlag: § 18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