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VerkSiG — Verwahrungspflichten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Eigentümer, Besitzer und Führer von See- und Binnenschiffen, Luftfahrzeugen, Straßenfahrzeugen und Schienenfahrzeugen sowie die Eigentümer und Besitzer von Verkehrsanlagen und -einrichtungen können verpflichtet werden,</w:t>
      </w:r>
    </w:p>
    <w:p>
      <w:pPr>
        <w:ind w:left="420"/>
      </w:pPr>
      <w:r>
        <w:t xml:space="preserve">1. verschlossene Schriftstücke, die Zwecken dieses Gesetzes dienen, anzunehmen, ungeöffnet zu verwahren und erst beim Vorliegen der festgesetzten Voraussetzungen von ihrem Inhalt Kenntnis zu nehmen,</w:t>
      </w:r>
    </w:p>
    <w:p>
      <w:pPr>
        <w:ind w:left="420"/>
      </w:pPr>
      <w:r>
        <w:t xml:space="preserve">2. Fernmeldemittel sowie Gegenstände, die der Sicherung der Nachrichtenübermittlung dienen, anzunehmen, zu verwahren und erst beim Vorliegen der festgesetzten Voraussetzungen zu verwenden.</w:t>
      </w:r>
    </w:p>
    <w:p>
      <w:r>
        <w:t xml:space="preserve">(2) Die Verpflichtung kann mit Auflagen über die Art der Verwahrung und über die Verwendung verbunden werden.</w:t>
      </w:r>
    </w:p>
    <w:p>
      <w:r>
        <w:rPr>
          <w:color w:val="555555"/>
          <w:sz w:val="17"/>
        </w:rPr>
        <w:t xml:space="preserve">Zitiervorschlag: § 13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