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VerkSiG — Leistungspflicht der Baulastträger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öffentlich-rechtlichen Träger von Bau- und Unterhaltungslasten an Straßen und schiffbaren Gewässern einschließlich Häfen können verpflichtet werden,</w:t>
      </w:r>
    </w:p>
    <w:p>
      <w:pPr>
        <w:ind w:left="420"/>
      </w:pPr>
      <w:r>
        <w:t xml:space="preserve">1. ihre Verkehrswege, -anlagen und -einrichtungen zu ändern, zu verstärken, zu erweitern, wiederherzustellen, zu erhalten oder neue Verkehrswege, -anlagen und -einrichtungen zu bauen,</w:t>
      </w:r>
    </w:p>
    <w:p>
      <w:pPr>
        <w:ind w:left="420"/>
      </w:pPr>
      <w:r>
        <w:t xml:space="preserve">2. Änderungen vorhandener Verkehrswege, -anlagen und -einrichtungen zu unterlassen,</w:t>
      </w:r>
    </w:p>
    <w:p>
      <w:pPr>
        <w:ind w:left="420"/>
      </w:pPr>
      <w:r>
        <w:t xml:space="preserve">3. bei der Herstellung oder Änderung von Verkehrswegen, -anlagen und -einrichtungen besondere Auflagen über technische Anforderungen zu erfüllen.</w:t>
      </w:r>
    </w:p>
    <w:p>
      <w:r>
        <w:t xml:space="preserve">(2) Maßnahmen der Behörden der Bundeswehrverwaltung nach dem Bundesleistungsgesetz bleiben unberührt. § 3 Abs. 2 des Bundesleistungsgesetzes ist insoweit nicht anzuwenden. Das Benehmen nach § 5 Abs. 3 und das Einvernehmen nach § 36 Abs. 3 Satz 3 des Bundesleistungsgesetzes haben die Behörden der Bundeswehrverwaltung mit den zur Ausführung des Absatzes 1 zuständigen Behörden herzustellen.</w:t>
      </w:r>
    </w:p>
    <w:p>
      <w:r>
        <w:rPr>
          <w:color w:val="555555"/>
          <w:sz w:val="17"/>
        </w:rPr>
        <w:t xml:space="preserve">Zitiervorschlag: § 11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