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VerkSiG — Gegenstand von Rechtsverordnungen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 die für Zwecke der Verteidigung erforderlichen lebenswichtigen Verkehrsleistungen, insbesondere zur Versorgung der Zivilbevölkerung und der Streitkräfte, sicherzustellen, können durch Rechtsverordnung Vorschriften erlassen werden über</w:t>
      </w:r>
    </w:p>
    <w:p>
      <w:pPr>
        <w:ind w:left="420"/>
      </w:pPr>
      <w:r>
        <w:t xml:space="preserve">1. die Benutzung und den Betrieb einschließlich der Ausrüstung von Verkehrsmitteln, -wegen, -anlagen und -einrichtungen,</w:t>
      </w:r>
    </w:p>
    <w:p>
      <w:pPr>
        <w:ind w:left="420"/>
      </w:pPr>
      <w:r>
        <w:t xml:space="preserve">2. die Lenkung, Beschleunigung und Beschränkung der Beförderung von Personen und Gütern, des Umschlags und der An- und Abfuhr sowie über die Behandlung von Gütern im Verkehr,</w:t>
      </w:r>
    </w:p>
    <w:p>
      <w:pPr>
        <w:ind w:left="420"/>
      </w:pPr>
      <w:r>
        <w:t xml:space="preserve">3. die Beschränkung der Veräußerung oder der sonstigen rechtsgeschäftlichen Überlassung von ihrer Zweckbestimmung zugeführten Verkehrsmitteln an Ausländer (§ 2 Absatz 5 des Außenwirtschaftsgesetzes).</w:t>
      </w:r>
    </w:p>
    <w:p>
      <w:r>
        <w:t xml:space="preserve">(2) Für die in Absatz 1 genannten Zwecke können durch Rechtsverordnung Vorschriften auch erlassen werden über</w:t>
      </w:r>
    </w:p>
    <w:p>
      <w:pPr>
        <w:ind w:left="420"/>
      </w:pPr>
      <w:r>
        <w:t xml:space="preserve">1. den Bau, die Instandsetzung und die Unterhaltung von Verkehrswegen, -anlagen und -einrichtungen,</w:t>
      </w:r>
    </w:p>
    <w:p>
      <w:pPr>
        <w:ind w:left="420"/>
      </w:pPr>
      <w:r>
        <w:t xml:space="preserve">2. die Zulassung, die personelle Besetzung und die Reihenfolge der Instandsetzungen von Verkehrsmitteln sowie über die technischen Anforderungen an Verkehrsmittel,</w:t>
      </w:r>
    </w:p>
    <w:p>
      <w:pPr>
        <w:ind w:left="420"/>
      </w:pPr>
      <w:r>
        <w:t xml:space="preserve">3. die Begründung, Erweiterung oder Beschränkung von Betriebs- und Beförderungspflichten,</w:t>
      </w:r>
    </w:p>
    <w:p>
      <w:pPr>
        <w:ind w:left="420"/>
      </w:pPr>
      <w:r>
        <w:t xml:space="preserve">4. das Verhalten bei der Benutzung von Verkehrsmitteln, -wegen, -anlagen und -einrichtungen sowie die Verpflichtung, bestimmte Verkehrswege, -anlagen und -einrichtungen zu benutzen.</w:t>
      </w:r>
    </w:p>
    <w:p>
      <w:r>
        <w:t xml:space="preserve">(3) Im Sinne dieses Gesetzes gelten als</w:t>
      </w:r>
    </w:p>
    <w:p>
      <w:pPr>
        <w:ind w:left="420"/>
      </w:pPr>
      <w:r>
        <w:t xml:space="preserve">1. Verkehrsunternehmen auch Umschlags- und Speditionsunternehmen sowie Unternehmen der Lagerei, soweit sie dem Verkehr dienen,</w:t>
      </w:r>
    </w:p>
    <w:p>
      <w:pPr>
        <w:ind w:left="420"/>
      </w:pPr>
      <w:r>
        <w:t xml:space="preserve">2. Verkehrsleistungen auch die mit ihnen verbundenen Nebenleistungen, insbesondere Umschlags- und Speditionsleistungen sowie Leistungen der Lagerei, soweit sie dem Verkehr dienen,</w:t>
      </w:r>
    </w:p>
    <w:p>
      <w:pPr>
        <w:ind w:left="420"/>
      </w:pPr>
      <w:r>
        <w:t xml:space="preserve">3. Verkehrsanlagen und -einrichtungen auch Umschlags- und Speditionsanlagen und -einrichtungen sowie Anlagen und Einrichtungen von Unternehmen der Lagerei, soweit sie dem Verkehr dienen.</w:t>
      </w:r>
    </w:p>
    <w:p>
      <w:r>
        <w:rPr>
          <w:color w:val="555555"/>
          <w:sz w:val="17"/>
        </w:rPr>
        <w:t xml:space="preserve">Zitiervorschlag: § 1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