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VerkLG — Auskunftspflicht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nach § 4 Abs. 1 zur Leistung verpflichtet werden kann, hat den nach § 7 Abs. 2 zuständigen Behörden auf Verlangen die für den in § 1 Abs. 1 genannten Zweck erforderlichen Auskünfte, auch über Planungen für die Herstellung oder Änderung von Verkehrsanlagen und Verkehrsinfrastruktur, zu erteilen.</w:t>
      </w:r>
    </w:p>
    <w:p>
      <w:r>
        <w:t xml:space="preserve">(2) Der Auskunftspflichtige kann die Auskunft auf solche Fragen verweigern, deren Beantwortung ihn selbst oder einen der in § 383 Abs. 1 Nr. 1 bis 3 der Zivilprozessordnung bezeichneten Angehörigen der Gefahr strafrechtlicher Verfolgung oder eines Verfahrens nach dem Gesetz über Ordnungswidrigkeiten aussetzen würde.</w:t>
      </w:r>
    </w:p>
    <w:p>
      <w:r>
        <w:t xml:space="preserve">(3) Nach Absatz 1 erlangte Einzelangaben über natürliche oder juristische Personen dürfen nur für den in § 1 genannten Zweck und nur unter Beachtung der Vorschriften des Bundesdatenschutzgesetzes verwendet werden.</w:t>
      </w:r>
    </w:p>
    <w:p>
      <w:r>
        <w:rPr>
          <w:color w:val="555555"/>
          <w:sz w:val="17"/>
        </w:rPr>
        <w:t xml:space="preserve">Zitiervorschlag: § 8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