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VerkLG — Leistungsdauer</w:t>
      </w:r>
    </w:p>
    <w:p>
      <w:r>
        <w:rPr>
          <w:color w:val="555555"/>
          <w:sz w:val="18"/>
        </w:rPr>
        <w:t xml:space="preserve">Verkehrsleistungsgesetz</w:t>
      </w:r>
    </w:p>
    <w:p>
      <w:r>
        <w:rPr>
          <w:color w:val="555555"/>
          <w:sz w:val="18"/>
        </w:rPr>
        <w:t xml:space="preserve">Stand: 10.06.2019 (konsolidierte Textfassung, kein amtliches Inkrafttretensdatum)</w:t>
      </w:r>
    </w:p>
    <w:p>
      <w:r>
        <w:t xml:space="preserve">Verkehrsleistungen im Sinne dieses Gesetzes dürfen nur auf bestimmte Zeit, längstens für die Dauer von drei Monaten, angefordert werden. Wiederholte Anforderungen gleicher Leistungen sind im Anschluss an die bisherige Anforderung nur dann zulässig, wenn dies unumgänglich ist; Satz 1 gilt entsprechend.</w:t>
      </w:r>
    </w:p>
    <w:p>
      <w:r>
        <w:rPr>
          <w:color w:val="555555"/>
          <w:sz w:val="17"/>
        </w:rPr>
        <w:t xml:space="preserve">Zitiervorschlag: § 6 VerkLG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