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VerkLG — Leistungspflichtige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Leistungen nach diesem Gesetz können verpflichtet werden:</w:t>
      </w:r>
    </w:p>
    <w:p>
      <w:pPr>
        <w:ind w:left="420"/>
      </w:pPr>
      <w:r>
        <w:t xml:space="preserve">1. Verkehrs- und Verkehrsinfrastrukturunternehmen, mit Ausnahme der Bergbahnunternehmen,</w:t>
      </w:r>
    </w:p>
    <w:p>
      <w:pPr>
        <w:ind w:left="420"/>
      </w:pPr>
      <w:r>
        <w:t xml:space="preserve">2. Reeder oder Ausrüster von Seeschiffen, die die Bundesflagge führen,</w:t>
      </w:r>
    </w:p>
    <w:p>
      <w:pPr>
        <w:ind w:left="420"/>
      </w:pPr>
      <w:r>
        <w:t xml:space="preserve">3. sonstige Eigentümer und Besitzer von Verkehrsmitteln oder von Verkehrsinfrastruktur, wenn diese Verkehrsmittel und diese Verkehrsinfrastruktur zum Betrieb eines Unternehmens gehören.</w:t>
      </w:r>
    </w:p>
    <w:p>
      <w:r>
        <w:t xml:space="preserve">(2) Im Sinne dieses Gesetzes gelten als Verkehrsunternehmen auch Betreiber von Umschlaganlagen, Speditionsunternehmen im Sinne des § 453 des Handelsgesetzbuchs sowie Unternehmen der Lagerei im Sinne des § 467 des Handelsgesetzbuchs und Betreiber von Informations- und Kommunikationssystemen, soweit sie dem Verkehr dienen.</w:t>
      </w:r>
    </w:p>
    <w:p>
      <w:r>
        <w:t xml:space="preserve">(3) Verkehrsunternehmen, die einer gesetzlichen Betriebs- und Beförderungspflicht unterliegen, können nur mit Zustimmung des Bundesministeriums für Verkehr und digitale Infrastruktur zu Leistungen herangezogen werden, soweit Rechtsakte der Europäischen Gemeinschaften nicht entgegenstehen.</w:t>
      </w:r>
    </w:p>
    <w:p>
      <w:r>
        <w:rPr>
          <w:color w:val="555555"/>
          <w:sz w:val="17"/>
        </w:rPr>
        <w:t xml:space="preserve">Zitiervorschlag: § 4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