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VerkLG — Anwendung</w:t>
      </w:r>
    </w:p>
    <w:p>
      <w:r>
        <w:rPr>
          <w:color w:val="555555"/>
          <w:sz w:val="18"/>
        </w:rPr>
        <w:t xml:space="preserve">Verkehrsleistungsgesetz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Leistungen im Sinne dieses Gesetzes dürfen nur angefordert werden, wenn</w:t>
      </w:r>
    </w:p>
    <w:p>
      <w:pPr>
        <w:ind w:left="420"/>
      </w:pPr>
      <w:r>
        <w:t xml:space="preserve">1. im Fall des § 1 Absatz 1 Nummer 1 das Bundesministerium für Verkehr und digitale Infrastruktur entschieden hat,</w:t>
      </w:r>
    </w:p>
    <w:p>
      <w:pPr>
        <w:ind w:left="420"/>
      </w:pPr>
      <w:r>
        <w:t xml:space="preserve">2. in den Fällen des § 1 Absatz 1 Nummer 2 bis 4 die Bundesregierung durch Beschluss festgestellt hat,</w:t>
      </w:r>
    </w:p>
    <w:p>
      <w:r>
        <w:t xml:space="preserve">dass die Voraussetzungen nach § 1 vorliegen.</w:t>
      </w:r>
    </w:p>
    <w:p>
      <w:r>
        <w:t xml:space="preserve">(2) Sind die Voraussetzungen des § 1 entfallen, hat</w:t>
      </w:r>
    </w:p>
    <w:p>
      <w:pPr>
        <w:ind w:left="420"/>
      </w:pPr>
      <w:r>
        <w:t xml:space="preserve">1. das Bundesministerium für Verkehr und digitale Infrastruktur seine Entscheidung nach Absatz 1 Nummer 1 oder</w:t>
      </w:r>
    </w:p>
    <w:p>
      <w:pPr>
        <w:ind w:left="420"/>
      </w:pPr>
      <w:r>
        <w:t xml:space="preserve">2. die Bundesregierung ihre Feststellung nach Absatz 1 Nummer 2</w:t>
      </w:r>
    </w:p>
    <w:p>
      <w:r>
        <w:t xml:space="preserve">aufzuheben. Satz 1 gilt auch, wenn der Bundestag die Aufhebung einer Entscheidung oder einer Feststellung verlangt.</w:t>
      </w:r>
    </w:p>
    <w:p>
      <w:r>
        <w:t xml:space="preserve">(3) Die Maßnahmen nach den Absätzen 1 und 2 sind im Bundesanzeiger zu veröffentlichen.</w:t>
      </w:r>
    </w:p>
    <w:p>
      <w:r>
        <w:rPr>
          <w:color w:val="555555"/>
          <w:sz w:val="17"/>
        </w:rPr>
        <w:t xml:space="preserve">Zitiervorschlag: § 2 VerkLG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https://recht.nulegal.eu/gesetze/VerkLG/2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