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VerkLG — Strafvorschriften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zwei Jahren oder mit Geldstrafe wird bestraft, wer</w:t>
      </w:r>
    </w:p>
    <w:p>
      <w:pPr>
        <w:ind w:left="420"/>
      </w:pPr>
      <w:r>
        <w:t xml:space="preserve">1. eine in § 13 Abs. 1 Nr. 1 bezeichnete Handlung beharrlich wiederholt oder</w:t>
      </w:r>
    </w:p>
    <w:p>
      <w:pPr>
        <w:ind w:left="420"/>
      </w:pPr>
      <w:r>
        <w:t xml:space="preserve">2. eine in § 13 Abs. 1 bezeichnete vorsätzliche Handlung begeht und dabei eine außergewöhnliche Mangellage bei der Versorgung mit Verkehrsleistungen ausnutzt, um bedeutende Vermögensvorteile zu erlangen.</w:t>
      </w:r>
    </w:p>
    <w:p>
      <w:r>
        <w:rPr>
          <w:color w:val="555555"/>
          <w:sz w:val="17"/>
        </w:rPr>
        <w:t xml:space="preserve">Zitiervorschlag: § 14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