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VerkLG — Bußgeldvorschriften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einer vollziehbaren Anordnung nach § 5 Abs. 1 Satz 1 zuwiderhandelt oder</w:t>
      </w:r>
    </w:p>
    <w:p>
      <w:pPr>
        <w:ind w:left="420"/>
      </w:pPr>
      <w:r>
        <w:t xml:space="preserve">2. entgegen § 8 Abs. 1 eine Auskunft nicht, nicht richtig, nicht vollständig oder nicht rechtzeitig erteilt.</w:t>
      </w:r>
    </w:p>
    <w:p>
      <w:r>
        <w:t xml:space="preserve">(2) Die Ordnungswidrigkeit kann in den Fällen des Absatzes 1 Nr. 1 mit einer Geldbuße bis zu dreißigtausend Euro, in den Fällen des Absatzes 1 Nr. 2 mit einer Geldbuße bis zu zehntausend Euro geahndet werden.</w:t>
      </w:r>
    </w:p>
    <w:p>
      <w:r>
        <w:rPr>
          <w:color w:val="555555"/>
          <w:sz w:val="17"/>
        </w:rPr>
        <w:t xml:space="preserve">Zitiervorschlag: § 13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