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VerkLG — Zustellungen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Verwaltungszustellungsgesetzes gelten mit der Maßgabe, dass in dringenden Fällen, soweit es für die Erfüllung der in § 1 genannten Zwecke erforderlich ist, die Zustellung auch</w:t>
      </w:r>
    </w:p>
    <w:p>
      <w:pPr>
        <w:ind w:left="420"/>
      </w:pPr>
      <w:r>
        <w:t xml:space="preserve">1. in schriftlicher, fernschriftlicher oder elektronischer Form ohne die Einhaltung der hierfür geltenden Bestimmungen des Verwaltungszustellungsgesetzes oder</w:t>
      </w:r>
    </w:p>
    <w:p>
      <w:pPr>
        <w:ind w:left="420"/>
      </w:pPr>
      <w:r>
        <w:t xml:space="preserve">2. durch mündliche oder fernmündliche Mitteilung, durch Presse, Rundfunk (Hörfunk und Fernsehen), Funkspruch oder in einer sonstigen ortsüblichen und geeigneten Weise</w:t>
      </w:r>
    </w:p>
    <w:p>
      <w:r>
        <w:t xml:space="preserve">erfolgen kann. In diesen Fällen gilt die Zustellung mit dem auf die Bekanntgabe folgenden Tag als bewirkt. § 7 Absatz 3 bleibt unberührt.</w:t>
      </w:r>
    </w:p>
    <w:p>
      <w:r>
        <w:rPr>
          <w:color w:val="555555"/>
          <w:sz w:val="17"/>
        </w:rPr>
        <w:t xml:space="preserve">Zitiervorschlag: § 11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