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 VerkLG — Härteausgleich</w:t>
      </w:r>
    </w:p>
    <w:p>
      <w:r>
        <w:rPr>
          <w:color w:val="555555"/>
          <w:sz w:val="18"/>
        </w:rPr>
        <w:t xml:space="preserve">Verkehrsleistungsgesetz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Wird durch eine Maßnahme auf Grund dieses Gesetzes dem Betroffenen ein Vermögensnachteil zugefügt, der nicht nach § 9 Satz 1 abzugelten ist, ist eine Entschädigung in Geld zu gewähren. § 9 Satz 3 ist entsprechend anzuwenden.</w:t>
      </w:r>
    </w:p>
    <w:p>
      <w:r>
        <w:t xml:space="preserve">(2) Zur Leistung der Entschädigung ist der Leistungsempfänger verpflichtet.</w:t>
      </w:r>
    </w:p>
    <w:p>
      <w:r>
        <w:rPr>
          <w:color w:val="555555"/>
          <w:sz w:val="17"/>
        </w:rPr>
        <w:t xml:space="preserve">Zitiervorschlag: § 10 VerkLG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https://recht.nulegal.eu/gesetze/VerkLG/10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