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VerkFlBerG — Abschlussfrist</w:t>
      </w:r>
    </w:p>
    <w:p>
      <w:r>
        <w:rPr>
          <w:color w:val="555555"/>
          <w:sz w:val="18"/>
        </w:rPr>
        <w:t xml:space="preserve">Verkehrsflächenbereinigungsgesetz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Rechte des öffentlichen Nutzers nach § 3 Abs. 1 und 3 erlöschen, wenn sie nicht bis zum Ablauf des 30. Juni 2007 ausgeübt sind.</w:t>
      </w:r>
    </w:p>
    <w:p>
      <w:r>
        <w:t xml:space="preserve">(2) Sind die Rechte des öffentlichen Nutzers aus § 3 Abs. 1 und 3 nach Absatz 1 erloschen, so kann der Grundstückseigentümer verlangen, dass der öffentliche Nutzer das Grundstück nach den Vorschriften dieses Gesetzes ankauft oder dass unter den Voraussetzungen des § 3 Abs. 3 Satz 1 eine entgeltliche Dienstbarkeit nach diesem Gesetz bestellt wird. § 3 Abs. 1 Satz 2 und 3, Abs. 2 und Abs. 3 Satz 2 und 3 gilt entsprechend.</w:t>
      </w:r>
    </w:p>
    <w:p>
      <w:r>
        <w:rPr>
          <w:color w:val="555555"/>
          <w:sz w:val="17"/>
        </w:rPr>
        <w:t xml:space="preserve">Zitiervorschlag: § 8 VerkFlBerG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https://recht.nulegal.eu/gesetze/VerkFlBerG/8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