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VerkFlBerG — Ankaufspreis und Bodenwertermittlung anderer Flächen</w:t>
      </w:r>
    </w:p>
    <w:p>
      <w:r>
        <w:rPr>
          <w:color w:val="555555"/>
          <w:sz w:val="18"/>
        </w:rPr>
        <w:t xml:space="preserve">Verkehrsflächenbereinigungsgesetz</w:t>
      </w:r>
    </w:p>
    <w:p>
      <w:r>
        <w:rPr>
          <w:color w:val="555555"/>
          <w:sz w:val="18"/>
        </w:rPr>
        <w:t xml:space="preserve">Stand: 10.06.2019 (konsolidierte Textfassung, kein amtliches Inkrafttretensdatum)</w:t>
      </w:r>
    </w:p>
    <w:p>
      <w:r>
        <w:t xml:space="preserve">(1) Der Kaufpreis für nach § 1 Abs. 1 Satz 1 Nr. 2 und Satz 6 genutzte Grundstücke beträgt die Hälfte des Bodenwertes im Zeitpunkt der Ausübung des Rechts nach § 3 Abs. 1 oder § 8 Abs. 2, mindestens jedoch 0,10 Euro je Quadratmeter. Der Restwert eines Gebäudes und der Grundstückseinrichtungen, die im Zeitpunkt der Begründung der öffentlichen Nutzung auf dem Grundstück bereits vorhanden waren, ist anzurechnen. § 74 Abs. 1 des Sachenrechtsbereinigungsgesetzes gilt entsprechend.</w:t>
      </w:r>
    </w:p>
    <w:p>
      <w:r>
        <w:t xml:space="preserve">(2) Der Bodenwert für nach § 1 Abs. 1 Satz 1 Nr. 2 genutzte Grundstücke ist in der Weise zu bestimmen, dass von dem nach § 19 Abs. 2 Satz 2 des Sachenrechtsbereinigungsgesetzes ermittelten Wert des baureifen Grundstücks ein Betrag von einem Drittel abzuziehen ist. § 19 Abs. 5 des Sachenrechtsbereinigungsgesetzes ist anzuwenden. Für unbebaute Grundstücke nach § 1 Abs. 1 Satz 6 ist der Bodenwert in der Weise zu bestimmen, dass von dem Wert eines in gleicher Lage belegenen Grundstücks ein Betrag von einem Drittel abzuziehen ist. Bei der Wertermittlung ist derjenige Zustand des Grundstücks (§ 3 Abs. 2 der Wertermittlungsverordnung) zugrunde zu legen, den dieses vor der tatsächlichen Inanspruchnahme zum Zwecke der Nutzung nach § 1 Abs. 1 Satz 6 hatte; § 5 Abs. 2 ist anzuwenden.</w:t>
      </w:r>
    </w:p>
    <w:p>
      <w:r>
        <w:rPr>
          <w:color w:val="555555"/>
          <w:sz w:val="17"/>
        </w:rPr>
        <w:t xml:space="preserve">Zitiervorschlag: § 6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