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VerkFlBerG — Erfasste Flächen</w:t>
      </w:r>
    </w:p>
    <w:p>
      <w:r>
        <w:rPr>
          <w:color w:val="555555"/>
          <w:sz w:val="18"/>
        </w:rPr>
        <w:t xml:space="preserve">Verkehrsflächenbereinigungsgesetz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Ansprüche nach diesem Gesetz erstrecken sich</w:t>
      </w:r>
    </w:p>
    <w:p>
      <w:pPr>
        <w:ind w:left="420"/>
      </w:pPr>
      <w:r>
        <w:t xml:space="preserve">1. bei der Nutzung von Gebäuden auf die Fläche, die für die zweckentsprechende Nutzung eines Gebäudes der entsprechenden Art ortsüblich ist und</w:t>
      </w:r>
    </w:p>
    <w:p>
      <w:pPr>
        <w:ind w:left="420"/>
      </w:pPr>
      <w:r>
        <w:t xml:space="preserve">2. bei der Nutzung baulicher Anlagen und Verkehrsflächen auf die zur bestimmungsgemäßen Nutzung erforderliche Fläche (Funktionsfläche).</w:t>
      </w:r>
    </w:p>
    <w:p>
      <w:r>
        <w:t xml:space="preserve">(2) Grundstücksteile, auf die sich der Anspruch des Nutzers nicht erstreckt, sind mitzuerwerben, wenn sie nicht in angemessenem Umfang baulich oder wirtschaftlich nutzbar sind (Restflächen).</w:t>
      </w:r>
    </w:p>
    <w:p>
      <w:r>
        <w:rPr>
          <w:color w:val="555555"/>
          <w:sz w:val="17"/>
        </w:rPr>
        <w:t xml:space="preserve">Zitiervorschlag: § 4 VerkFlBerG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https://recht.nulegal.eu/gesetze/VerkFlBerG/4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