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VerkFlBerG — Abweichende Vereinbarungen; Verhältnis zu anderen Vorschriften</w:t>
      </w:r>
    </w:p>
    <w:p>
      <w:r>
        <w:rPr>
          <w:color w:val="555555"/>
          <w:sz w:val="18"/>
        </w:rPr>
        <w:t xml:space="preserve">Verkehrsflächenbereinigungsgesetz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Beteiligten können von den Bestimmungen dieses Gesetzes abweichende Vereinbarungen treffen. Vergleiche sind zulässig.</w:t>
      </w:r>
    </w:p>
    <w:p>
      <w:r>
        <w:t xml:space="preserve">(2) Den Vorschriften dieses Gesetzes gehen das Sachenrechtsbereinigungsgesetz, das Bodensonderungsgesetz, das Landwirtschaftsanpassungsgesetz, das Meliorationsanlagengesetz und § 9 des Grundbuchbereinigungsgesetzes sowie die Sachenrechts-Durchführungsverordnung vor.</w:t>
      </w:r>
    </w:p>
    <w:p>
      <w:r>
        <w:rPr>
          <w:color w:val="555555"/>
          <w:sz w:val="17"/>
        </w:rPr>
        <w:t xml:space="preserve">Zitiervorschlag: § 13 VerkFlBerG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https://recht.nulegal.eu/gesetze/VerkFlBerG/13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