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VerkFlBerG — Kosten</w:t>
      </w:r>
    </w:p>
    <w:p>
      <w:r>
        <w:rPr>
          <w:color w:val="555555"/>
          <w:sz w:val="18"/>
        </w:rPr>
        <w:t xml:space="preserve">Verkehrsflächenbereinigungsgesetz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Kosten des Vertrages und seiner Durchführung trägt der öffentliche Nutzer. Gerichtskosten nach dem Gerichts- und Notarkostengesetz werden nicht erhoben.</w:t>
      </w:r>
    </w:p>
    <w:p>
      <w:r>
        <w:rPr>
          <w:color w:val="555555"/>
          <w:sz w:val="17"/>
        </w:rPr>
        <w:t xml:space="preserve">Zitiervorschlag: § 12 VerkFlBerG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https://recht.nulegal.eu/gesetze/VerkFlBerG/12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