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VerkFlBerG — Anwendungsbereich</w:t>
      </w:r>
    </w:p>
    <w:p>
      <w:r>
        <w:rPr>
          <w:color w:val="555555"/>
          <w:sz w:val="18"/>
        </w:rPr>
        <w:t xml:space="preserve">Verkehrsflächenbereinigungsgesetz</w:t>
      </w:r>
    </w:p>
    <w:p>
      <w:r>
        <w:rPr>
          <w:color w:val="555555"/>
          <w:sz w:val="18"/>
        </w:rPr>
        <w:t xml:space="preserve">Stand: 10.06.2019 (konsolidierte Textfassung, kein amtliches Inkrafttretensdatum)</w:t>
      </w:r>
    </w:p>
    <w:p>
      <w:r>
        <w:t xml:space="preserve">(1) Dieses Gesetz gilt für in dem in Artikel 3 des Einigungsvertrages genannten Gebiet belegene Grundstücke privater Eigentümer, sofern sie frühestens seit dem 9. Mai 1945 und vor dem 3. Oktober 1990 für die Erfüllung einer Verwaltungsaufgabe tatsächlich in Anspruch genommen wurden, einer Verwaltungsaufgabe noch dienen und</w:t>
      </w:r>
    </w:p>
    <w:p>
      <w:pPr>
        <w:ind w:left="420"/>
      </w:pPr>
      <w:r>
        <w:t xml:space="preserve">1. Verkehrsflächen im Sinne dieses Gesetzes sind oder</w:t>
      </w:r>
    </w:p>
    <w:p>
      <w:pPr>
        <w:ind w:left="420"/>
      </w:pPr>
      <w:r>
        <w:t xml:space="preserve">2. vor dem 3. Oktober 1990 für die Erfüllung einer sonstigen Verwaltungsaufgabe mit einem Gebäude oder einer sonstigen baulichen Anlage bebaut worden sind.</w:t>
      </w:r>
    </w:p>
    <w:p>
      <w:r>
        <w:t xml:space="preserve">Der Bebauung mit einem Gebäude steht es gleich, wenn das Grundstück oder Gebäude mit erheblichem baulichen Aufwand für die öffentliche Nutzung verändert worden ist. Der Begriff der baulichen Anlage bestimmt sich nach § 12 Abs. 3 des Sachenrechtsbereinigungsgesetzes. Als bauliche Anlage gelten auch Absetzteiche und vergleichbare Anlagen der Abwasserentsorgung sowie Deponien. Dient das Gebäude oder die bauliche Anlage auch anderen als öffentlichen Zwecken, findet dieses Gesetz nur im Fall überwiegender öffentlicher Nutzung Anwendung. Bebauten Grundstücken nach Satz 1 Nr. 2 gleichgestellt sind unbebaute Grundstücke innerhalb militärischer Liegenschaften.</w:t>
      </w:r>
    </w:p>
    <w:p>
      <w:r>
        <w:t xml:space="preserve">(2) Das Gesetz findet keine Anwendung, wenn</w:t>
      </w:r>
    </w:p>
    <w:p>
      <w:pPr>
        <w:ind w:left="420"/>
      </w:pPr>
      <w:r>
        <w:t xml:space="preserve">1. der Fortbestand der öffentlichen Nutzung auf Grund eines nach dem 3. Oktober 1990 begründeten dinglichen Rechts gesichert ist,</w:t>
      </w:r>
    </w:p>
    <w:p>
      <w:pPr>
        <w:ind w:left="420"/>
      </w:pPr>
      <w:r>
        <w:t xml:space="preserve">2. das Grundstück nach einem der öffentlichen Nutzung zugrunde liegenden Miet-, Pacht- oder sonstigen Nutzungsvertrag dem öffentlichen Zweck nur vorübergehend, insbesondere für eine im Vertrag bestimmte Zeit dienen soll, oder</w:t>
      </w:r>
    </w:p>
    <w:p>
      <w:pPr>
        <w:ind w:left="420"/>
      </w:pPr>
      <w:r>
        <w:t xml:space="preserve">3. vor dem Inkrafttreten dieses Gesetzes zur Bereinigung der Rechtsverhältnisse an dem Grundstück ein anderer Vertrag abgeschlossen oder ein rechtskräftiges Urteil oder ein bestandskräftiger Verwaltungsakt ergangen ist.</w:t>
      </w:r>
    </w:p>
    <w:p>
      <w:r>
        <w:t xml:space="preserve">Eine nur vorübergehende Nutzung im Sinne der Nummer 2 liegt nicht vor, wenn nach dem Inhalt des Vertrages oder den Umständen seines Abschlusses die vertragliche Nutzung nur bis zu einer dem öffentlichen Zweck entsprechenden Regelung der Eigentumsverhältnisse an dem Grundstück fortdauern sollte.</w:t>
      </w:r>
    </w:p>
    <w:p>
      <w:r>
        <w:rPr>
          <w:color w:val="555555"/>
          <w:sz w:val="17"/>
        </w:rPr>
        <w:t xml:space="preserve">Zitiervorschlag: § 1 VerkFlBerG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https://recht.nulegal.eu/gesetze/VerkFlBerG/1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