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VerkFinG — Übergangsregelung</w:t>
      </w:r>
    </w:p>
    <w:p>
      <w:r>
        <w:rPr>
          <w:color w:val="555555"/>
          <w:sz w:val="18"/>
        </w:rPr>
        <w:t xml:space="preserve">Verkehrsfinanzgesetz 1955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 Bundesregierung von ihrer Ermächtigung nach Artikel 1 Abs. 1 keinen Gebrauch macht, leistet der Bund die Finanzierungsbeiträge des Artikels 2 unmittelbar an die Deutsche Bundesbahn.</w:t>
      </w:r>
    </w:p>
    <w:p>
      <w:r>
        <w:t xml:space="preserve">(2) Die Bestimmungen der Artikel 4, 5 und 6 Abs. 2 gelten entsprechend.</w:t>
      </w:r>
    </w:p>
    <w:p>
      <w:r>
        <w:rPr>
          <w:color w:val="555555"/>
          <w:sz w:val="17"/>
        </w:rPr>
        <w:t xml:space="preserve">Zitiervorschlag: Art 8 VerkFinG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https://recht.nulegal.eu/gesetze/VerkFinG/8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