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VerkFinG — Rechnungslegung</w:t>
      </w:r>
    </w:p>
    <w:p>
      <w:r>
        <w:rPr>
          <w:color w:val="555555"/>
          <w:sz w:val="18"/>
        </w:rPr>
        <w:t xml:space="preserve">Verkehrsfinanzgesetz 1955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Gesellschaft rechnet die ihr zugewiesenen Mittel mit der überweisenden Stelle des Bundes ab. Die für die Baudurchführung zuständigen Stellen (Artikel 4 Abs. 2) rechnen die ihnen zugewiesenen Baumittel mit der Gesellschaft unmittelbar ab.</w:t>
      </w:r>
    </w:p>
    <w:p>
      <w:r>
        <w:t xml:space="preserve">(2) Die Rechnung und die Verwendung der Baumittel werden durch den Bundesrechnungshof geprüft.</w:t>
      </w:r>
    </w:p>
    <w:p>
      <w:r>
        <w:rPr>
          <w:color w:val="555555"/>
          <w:sz w:val="17"/>
        </w:rPr>
        <w:t xml:space="preserve">Zitiervorschlag: Art 5 VerkFinG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