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VerjHemV — Beendigung der Verjährungshemmung bei Abgeltungsdarlehen</w:t>
      </w:r>
    </w:p>
    <w:p>
      <w:r>
        <w:rPr>
          <w:color w:val="555555"/>
          <w:sz w:val="18"/>
        </w:rPr>
        <w:t xml:space="preserve">Verordnung über die Verjährungshemmung bei Abgeltungsdarlehen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36a Satz 2 des Gesetzes über Maßnahmen auf dem Gebiete des Grundbuchwesens bestimmte Hemmung der Verjährung noch nicht verjährter Forderungen aus Abgeltungsdarlehen endet mit dem Ablauf des 31. Dezember 1999.</w:t>
      </w:r>
    </w:p>
    <w:p>
      <w:r>
        <w:rPr>
          <w:color w:val="555555"/>
          <w:sz w:val="17"/>
        </w:rPr>
        <w:t xml:space="preserve">Zitiervorschlag: § 1 VerjHemV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https://recht.nulegal.eu/gesetze/VerjHemV/1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