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VerifZusAusfG — Nachprüfung der technischen Merkmale der Anlage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Nachprüfung der technischen Merkmale der Anlage erfolgt zur Nachprüfung der nach den Artikeln 1 bis 3 der Kommissionsverordnung mitzuteilenden technischen Merkmale der Anlage, die die Gemeinschaft nach Artikel 42 des Verifikationsabkommens an die Organisation übermittelt.</w:t>
      </w:r>
    </w:p>
    <w:p>
      <w:r>
        <w:t xml:space="preserve">(2) Der Verpflichtete hat während der Betriebs- oder Geschäftszeit den Zugang zu gestatten, der zur Nachprüfung der technischen Merkmale der Anlage erforderlich ist.</w:t>
      </w:r>
    </w:p>
    <w:p>
      <w:r>
        <w:rPr>
          <w:color w:val="555555"/>
          <w:sz w:val="17"/>
        </w:rPr>
        <w:t xml:space="preserve">Zitiervorschlag: § 8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