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VerifZusAusfG — Außergewöhnliche Umstände</w:t>
      </w:r>
    </w:p>
    <w:p>
      <w:r>
        <w:rPr>
          <w:color w:val="555555"/>
          <w:sz w:val="18"/>
        </w:rPr>
        <w:t xml:space="preserve">Ausführungsgesetz zum Verifikationsabkommen und zum Zusatzprotokoll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eines nuklearen Ereignisses oder eines anderen außergewöhnlichen Umstandes hat der Verpflichtete oder der Zusatzverpflichtete die erforderlichen Maßnahmen zu treffen, damit die Organisation die ihr gemäß § 2 Abs. 1 obliegenden Sicherungsmaßnahmen im Rahmen des außergewöhnlichen Umstandes durchführen kann. Diese Maßnahmen werden von der nach § 22 Abs. 1 zuständigen Behörde festgelegt.</w:t>
      </w:r>
    </w:p>
    <w:p>
      <w:r>
        <w:rPr>
          <w:color w:val="555555"/>
          <w:sz w:val="17"/>
        </w:rPr>
        <w:t xml:space="preserve">Zitiervorschlag: § 4 VerifZusAusfG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https://recht.nulegal.eu/gesetze/VerifZusAusfG/4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