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VerifZusAusfG — Zweck und Begrenzung der Sicherungsmaßnahmen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Sicherungsmaßnahmen dienen ausschließlich dazu, nachzuprüfen, dass Kernmaterial nicht für Kernwaffen oder sonstige Kernsprengkörper abgezweigt wird und dass es kein nichtdeklariertes Kernmaterial und keine nichtdeklarierten informationspflichtigen Tätigkeiten gibt.</w:t>
      </w:r>
    </w:p>
    <w:p>
      <w:r>
        <w:t xml:space="preserve">(2) Die Sicherungsmaßnahmen umfassen nicht Maßnahmen, die</w:t>
      </w:r>
    </w:p>
    <w:p>
      <w:pPr>
        <w:ind w:left="420"/>
      </w:pPr>
      <w:r>
        <w:t xml:space="preserve">1. die Errichtung, die Inbetriebnahme, den Betrieb oder die sonstigen Tätigkeiten des Verpflichteten oder des Zusatzverpflichteten mehr als nötig stören oder verzögern;</w:t>
      </w:r>
    </w:p>
    <w:p>
      <w:pPr>
        <w:ind w:left="420"/>
      </w:pPr>
      <w:r>
        <w:t xml:space="preserve">2. den Schutz von Betriebs- oder Geschäftsgeheimnissen oder anderen vertraulichen Informationen gefährden oder</w:t>
      </w:r>
    </w:p>
    <w:p>
      <w:pPr>
        <w:ind w:left="420"/>
      </w:pPr>
      <w:r>
        <w:t xml:space="preserve">3. die Sicherheit der in § 6 genannten Tätigkeiten oder der in § 17 aufgeführten Standorte, Orte oder Anlagen beeinträchtigen.</w:t>
      </w:r>
    </w:p>
    <w:p>
      <w:r>
        <w:t xml:space="preserve">Der Verpflichtete oder Zusatzverpflichtete hat Informationen nach Satz 1 Nr. 2, die er als schutzwürdig erachtet, bei der Meldung der technischen Merkmale der Anlage nach Artikel 1 bis 3 der Kommissionsverordnung oder bei der Lieferung von Informationen nach § 15 dieses Gesetzes zu kennzeichnen.</w:t>
      </w:r>
    </w:p>
    <w:p>
      <w:r>
        <w:rPr>
          <w:color w:val="555555"/>
          <w:sz w:val="17"/>
        </w:rPr>
        <w:t xml:space="preserve">Zitiervorschlag: § 2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