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VerifZusAusfG — Empfänger und Zeitpunkt der Informationen</w:t>
      </w:r>
    </w:p>
    <w:p>
      <w:r>
        <w:rPr>
          <w:color w:val="555555"/>
          <w:sz w:val="18"/>
        </w:rPr>
        <w:t xml:space="preserve">Ausführungsgesetz zum Verifikationsabkommen und zum Zusatzprotokoll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15 bezeichneten Informationen sind der Europäischen Kommission - Sicherheitsüberwachung Euratom - L-2920 Luxemburg zu folgenden Zeitpunkten zu übersenden:</w:t>
      </w:r>
    </w:p>
    <w:p>
      <w:pPr>
        <w:ind w:left="420"/>
      </w:pPr>
      <w:r>
        <w:t xml:space="preserve">1. Informationen nach § 15 Abs. 1, 3 und 4 innerhalb von 120 Tagen nach Inkrafttreten dieses Gesetzes sowie in den Folgejahren jeweils bis zum 1. April eine Aktualisierung dieser Informationen für das vorhergehende Kalenderjahr;</w:t>
      </w:r>
    </w:p>
    <w:p>
      <w:pPr>
        <w:ind w:left="420"/>
      </w:pPr>
      <w:r>
        <w:t xml:space="preserve">2. Informationen nach § 15 Abs. 2, 6 und 7 zu Zeitpunkten, die von der Kommission bekanntgegeben werden;</w:t>
      </w:r>
    </w:p>
    <w:p>
      <w:pPr>
        <w:ind w:left="420"/>
      </w:pPr>
      <w:r>
        <w:t xml:space="preserve">3. Informationen nach § 15 Abs. 5 über eine weitere Aufbereitung 210 Tage vor Beginn und bis zum 1. April jedes Jahres Informationen über den Lagerort oder dessen Wechsel im vorhergehenden Kalenderjahr.</w:t>
      </w:r>
    </w:p>
    <w:p>
      <w:r>
        <w:rPr>
          <w:color w:val="555555"/>
          <w:sz w:val="17"/>
        </w:rPr>
        <w:t xml:space="preserve">Zitiervorschlag: § 16 VerifZusAusfG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https://recht.nulegal.eu/gesetze/VerifZusAusfG/16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