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VerifZusAusfG — Durchführung der Inspektionstätigkeiten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Verpflichtete hat den Inspektoren der Organisation zur Durchführung der in § 12 genannten Tätigkeiten zu gestatten,</w:t>
      </w:r>
    </w:p>
    <w:p>
      <w:pPr>
        <w:ind w:left="420"/>
      </w:pPr>
      <w:r>
        <w:t xml:space="preserve">1. die Entnahme von Proben gemäß den nach Artikel 7 Buchstabe e der Kommissionsverordnung erlassenen Besonderen Kontrollbestimmungen durch den Verpflichteten,</w:t>
      </w:r>
    </w:p>
    <w:p>
      <w:pPr>
        <w:ind w:left="420"/>
      </w:pPr>
      <w:r>
        <w:t xml:space="preserve">2. die Messung von Ausgangs- und besonderem spaltbarem Material gemäß den nach Artikel 7 Buchstabe c der Kommissionsverordnung erlassenen Besonderen Kontrollbestimmungen durch den Verpflichteten,</w:t>
      </w:r>
    </w:p>
    <w:p>
      <w:pPr>
        <w:ind w:left="420"/>
      </w:pPr>
      <w:r>
        <w:t xml:space="preserve">3. die Kalibrierung der bei den Messungen verwendeten Instrumente und Ausrüstungen sowie</w:t>
      </w:r>
    </w:p>
    <w:p>
      <w:pPr>
        <w:ind w:left="420"/>
      </w:pPr>
      <w:r>
        <w:t xml:space="preserve">4. die Behandlung und Analyse der Proben</w:t>
      </w:r>
    </w:p>
    <w:p>
      <w:r>
        <w:t xml:space="preserve">zu beobachten.</w:t>
      </w:r>
    </w:p>
    <w:p>
      <w:r>
        <w:t xml:space="preserve">(2) Der Verpflichtete hat außerdem auf Verlangen der Inspektoren der Organisation Maßnahmen zu ergreifen, damit</w:t>
      </w:r>
    </w:p>
    <w:p>
      <w:pPr>
        <w:ind w:left="420"/>
      </w:pPr>
      <w:r>
        <w:t xml:space="preserve">1. die Organisation Doppel der nach Absatz 1 Nr. 1 entnommenen Proben erhält,</w:t>
      </w:r>
    </w:p>
    <w:p>
      <w:pPr>
        <w:ind w:left="420"/>
      </w:pPr>
      <w:r>
        <w:t xml:space="preserve">2. zur Verwendung durch die Organisation zusätzliche Messungen durchgeführt und zusätzliche Proben entnommen werden,</w:t>
      </w:r>
    </w:p>
    <w:p>
      <w:pPr>
        <w:ind w:left="420"/>
      </w:pPr>
      <w:r>
        <w:t xml:space="preserve">3. die Standardanalyseproben der Organisation analysiert werden,</w:t>
      </w:r>
    </w:p>
    <w:p>
      <w:pPr>
        <w:ind w:left="420"/>
      </w:pPr>
      <w:r>
        <w:t xml:space="preserve">4. die für die Organisation bestimmten Proben abgesandt werden,</w:t>
      </w:r>
    </w:p>
    <w:p>
      <w:pPr>
        <w:ind w:left="420"/>
      </w:pPr>
      <w:r>
        <w:t xml:space="preserve">5. geeignete Genauigkeitsanforderungen bei der Kalibrierung von Instrumenten und anderen Ausrüstungen angewandt werden,</w:t>
      </w:r>
    </w:p>
    <w:p>
      <w:pPr>
        <w:ind w:left="420"/>
      </w:pPr>
      <w:r>
        <w:t xml:space="preserve">6. andere Kalibrierungen durchgeführt werden,</w:t>
      </w:r>
    </w:p>
    <w:p>
      <w:pPr>
        <w:ind w:left="420"/>
      </w:pPr>
      <w:r>
        <w:t xml:space="preserve">7. Ausrüstungen der Organisation zur unabhängigen Messung und Beobachtung verwendet werden können,</w:t>
      </w:r>
    </w:p>
    <w:p>
      <w:pPr>
        <w:ind w:left="420"/>
      </w:pPr>
      <w:r>
        <w:t xml:space="preserve">8. Ausrüstungen der Organisation zur unabhängigen Messung und Beobachtung angebracht werden,</w:t>
      </w:r>
    </w:p>
    <w:p>
      <w:pPr>
        <w:ind w:left="420"/>
      </w:pPr>
      <w:r>
        <w:t xml:space="preserve">9. Siegel und andere kennzeichnende oder Verfälschungen anzeigende Vorrichtungen der Organisation angebracht werden.</w:t>
      </w:r>
    </w:p>
    <w:p>
      <w:r>
        <w:rPr>
          <w:color w:val="555555"/>
          <w:sz w:val="17"/>
        </w:rPr>
        <w:t xml:space="preserve">Zitiervorschlag: § 13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