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VerifZusAusfG — Inspektionstätigkeiten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Verpflichtete hat den Inspektoren der Organisation für Inspektionen nach den §§ 9 bis 11 folgende Tätigkeiten zu ermöglichen:</w:t>
      </w:r>
    </w:p>
    <w:p>
      <w:pPr>
        <w:ind w:left="420"/>
      </w:pPr>
      <w:r>
        <w:t xml:space="preserve">1. Prüfung der nach den Artikel 9 bis 11 der Kommissionsverordnung zu führenden Protokolle;</w:t>
      </w:r>
    </w:p>
    <w:p>
      <w:pPr>
        <w:ind w:left="420"/>
      </w:pPr>
      <w:r>
        <w:t xml:space="preserve">2. unabhängige Messung des Ausgangs- und besonderen spaltbaren Materials;</w:t>
      </w:r>
    </w:p>
    <w:p>
      <w:pPr>
        <w:ind w:left="420"/>
      </w:pPr>
      <w:r>
        <w:t xml:space="preserve">3. Nachprüfung, ob Instrumente und sonstige Mess- und Kontrollausrüstungen funktionieren und kalibriert sind;</w:t>
      </w:r>
    </w:p>
    <w:p>
      <w:pPr>
        <w:ind w:left="420"/>
      </w:pPr>
      <w:r>
        <w:t xml:space="preserve">4. Anwendung und Nutzung von Maßnahmen der Beobachtung und räumlichen Eingrenzung;</w:t>
      </w:r>
    </w:p>
    <w:p>
      <w:pPr>
        <w:ind w:left="420"/>
      </w:pPr>
      <w:r>
        <w:t xml:space="preserve">5. Anwendung anderer objektiver Methoden, die sich als technisch durchführbar erwiesen haben.</w:t>
      </w:r>
    </w:p>
    <w:p>
      <w:r>
        <w:rPr>
          <w:color w:val="555555"/>
          <w:sz w:val="17"/>
        </w:rPr>
        <w:t xml:space="preserve">Zitiervorschlag: § 12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