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VerifZusAusfG — Routineinspektion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Routineinspektion erfolgt, um</w:t>
      </w:r>
    </w:p>
    <w:p>
      <w:pPr>
        <w:ind w:left="420"/>
      </w:pPr>
      <w:r>
        <w:t xml:space="preserve">1. nachzuprüfen, dass die Angaben in den Berichten nach den Artikeln 14 und 16 der Kommissionsverordnung, die die Gemeinschaft nach Artikel 63 des Verifikationsabkommens der Organisation übermittelt, mit den nach den Artikeln 9 bis 11 der Kommissionsverordnung zu führenden Protokollen übereinstimmen;</w:t>
      </w:r>
    </w:p>
    <w:p>
      <w:pPr>
        <w:ind w:left="420"/>
      </w:pPr>
      <w:r>
        <w:t xml:space="preserve">2. die Lage, Identität, Menge und Zusammensetzung des Ausgangs- und besonderen spaltbaren Materials nachzuprüfen;</w:t>
      </w:r>
    </w:p>
    <w:p>
      <w:pPr>
        <w:ind w:left="420"/>
      </w:pPr>
      <w:r>
        <w:t xml:space="preserve">3. die Angaben über die möglichen Ursachen für nicht nachgewiesenes Material, für Absender/Empfänger-Differenzen und für Unklarheiten über den Buchbestand nachzuprüfen.</w:t>
      </w:r>
    </w:p>
    <w:p>
      <w:r>
        <w:t xml:space="preserve">(2) Zur Durchführung der Routineinspektion hat der Verpflichtete während der Betriebs- oder Geschäftszeit den Zugang zu den in den Besonderen Kontrollbestimmungen nach Artikel 7 der Kommissionsverordnung festgelegten strategischen Punkten und den nach den Artikeln 9 bis 11 der Kommissionsverordnung zu führenden Protokollen zu gestatten.</w:t>
      </w:r>
    </w:p>
    <w:p>
      <w:r>
        <w:rPr>
          <w:color w:val="555555"/>
          <w:sz w:val="17"/>
        </w:rPr>
        <w:t xml:space="preserve">Zitiervorschlag: § 10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