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VergoldAusbV — Zwischenprüfung</w:t>
      </w:r>
    </w:p>
    <w:p>
      <w:r>
        <w:rPr>
          <w:color w:val="555555"/>
          <w:sz w:val="18"/>
        </w:rPr>
        <w:t xml:space="preserve">Verordnung über die Berufsausbildung zum Vergolder/zur Vergolderin</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für das erste Ausbildungsjahr und das dritte Ausbildungshalbjahr aufgeführten Fertigkeiten und Kenntnisse sowie auf den im Berufsschulunterricht entsprechend den Rahmenlehrplänen zu vermittelnden Lehrstoff, soweit er für die Berufsausbildung wesentlich ist.</w:t>
      </w:r>
    </w:p>
    <w:p>
      <w:r>
        <w:t xml:space="preserve">(3) Der Prüfling soll in der praktischen Prüfung in insgesamt höchstens sieben Stunden drei Arbeitsproben einschließlich eines Arbeitsablaufplanes durchführen. Hierfür kommen insbesondere in Betracht:</w:t>
      </w:r>
    </w:p>
    <w:p>
      <w:pPr>
        <w:ind w:left="420"/>
      </w:pPr>
      <w:r>
        <w:t xml:space="preserve">1. Anfertigen einer Gravur,</w:t>
      </w:r>
    </w:p>
    <w:p>
      <w:pPr>
        <w:ind w:left="420"/>
      </w:pPr>
      <w:r>
        <w:t xml:space="preserve">2. Anfertigen einer Polimentvergoldung auf einer gravierten Platte und</w:t>
      </w:r>
    </w:p>
    <w:p>
      <w:pPr>
        <w:ind w:left="420"/>
      </w:pPr>
      <w:r>
        <w:t xml:space="preserve">3. Anfertigen einer Ölvergoldung.</w:t>
      </w:r>
    </w:p>
    <w:p>
      <w:r>
        <w:t xml:space="preserve">(4) Der Prüfling soll in der schriftlichen Prüfung in insgesamt höchstens 180 Minuten Aufgaben, die sich auf praxisbezogene Fälle beziehen sollen, aus folgenden Gebieten lösen:</w:t>
      </w:r>
    </w:p>
    <w:p>
      <w:pPr>
        <w:ind w:left="420"/>
      </w:pPr>
      <w:r>
        <w:t xml:space="preserve">1. Sicherheit und Gesundheitsschutz bei der Arbeit, Umweltschutz,</w:t>
      </w:r>
    </w:p>
    <w:p>
      <w:pPr>
        <w:ind w:left="420"/>
      </w:pPr>
      <w:r>
        <w:t xml:space="preserve">2. Arbeitsplanung,</w:t>
      </w:r>
    </w:p>
    <w:p>
      <w:pPr>
        <w:ind w:left="420"/>
      </w:pPr>
      <w:r>
        <w:t xml:space="preserve">3. Fertigungsverfahren,</w:t>
      </w:r>
    </w:p>
    <w:p>
      <w:pPr>
        <w:ind w:left="420"/>
      </w:pPr>
      <w:r>
        <w:t xml:space="preserve">4. Werkstoffkunde,</w:t>
      </w:r>
    </w:p>
    <w:p>
      <w:pPr>
        <w:ind w:left="420"/>
      </w:pPr>
      <w:r>
        <w:t xml:space="preserve">5. berufsbezogene Berechnungen,</w:t>
      </w:r>
    </w:p>
    <w:p>
      <w:pPr>
        <w:ind w:left="420"/>
      </w:pPr>
      <w:r>
        <w:t xml:space="preserve">6. Gestaltungstechniken,</w:t>
      </w:r>
    </w:p>
    <w:p>
      <w:pPr>
        <w:ind w:left="420"/>
      </w:pPr>
      <w:r>
        <w:t xml:space="preserve">7. Farbe, Form und Stilkunde.</w:t>
      </w:r>
    </w:p>
    <w:p>
      <w:r>
        <w:t xml:space="preserve">(5) Die in Absatz 4 genannte Prüfungsdauer kann insbesondere unterschritten werden, soweit die schriftliche Prüfung in programmierter Form durchgeführt wird.</w:t>
      </w:r>
    </w:p>
    <w:p>
      <w:r>
        <w:rPr>
          <w:color w:val="555555"/>
          <w:sz w:val="17"/>
        </w:rPr>
        <w:t xml:space="preserve">Zitiervorschlag: § 7 VergoldAusbV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https://recht.nulegal.eu/gesetze/VergoldAusbV/7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