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VergWerkeRegV — Kosten</w:t>
      </w:r>
    </w:p>
    <w:p>
      <w:r>
        <w:rPr>
          <w:color w:val="555555"/>
          <w:sz w:val="18"/>
        </w:rPr>
        <w:t xml:space="preserve">Verordnung über das Register vergriffener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jede Eintragung in das Register wird eine Gebühr in Höhe von 1 Euro erhoben.</w:t>
      </w:r>
    </w:p>
    <w:p>
      <w:r>
        <w:t xml:space="preserve">(2) Zur Zahlung der Eintragungsgebühren ist ein gültiges SEPA-Basislastschriftmandat zu Gunsten der zuständigen Bundeskasse für das Deutsche Patent- und Markenamt zu erteilen. Mit dem SEPA-Basislastschriftmandat sind Angaben zum Verwendungszweck einzureichen. Das SEPA-Basislastschriftmandat soll für eine Vielzahl von Einzügen verwendet werden.</w:t>
      </w:r>
    </w:p>
    <w:p>
      <w:r>
        <w:t xml:space="preserve">(3) Als Zahlungstag gilt der Tag des Eingangs des SEPA-Basislastschriftmandats samt Angaben zum Verwendungszweck beim Deutschen Patent- und Markenamt. Wird das SEPA-Basislastschriftmandat durch Telefax übermittelt, ist das Original innerhalb einer Frist von einem Monat nach Eingang des Telefax nachzureichen. Andernfalls gilt als Zahlungstag der Tag des Eingangs des Originals.</w:t>
      </w:r>
    </w:p>
    <w:p>
      <w:r>
        <w:t xml:space="preserve">(4) Das Deutsche Patent- und Markenamt teilt den Verwertungsgesellschaften den Gesamtbetrag der auf sie entfallenden Eintragungsgebühren für jeden Kalendermonat mit und zieht diesen Betrag aufgrund des SEPA-Basislastschriftmandats ein.</w:t>
      </w:r>
    </w:p>
    <w:p>
      <w:r>
        <w:t xml:space="preserve">(5) Die §§ 5, 6 Absatz 1, § 8 Absatz 2, § 10 Absatz 1, § 12 Absatz 1 und 4 sowie § 13 der DPMA-Verwaltungskostenverordnung sind entsprechend anzuwenden.</w:t>
      </w:r>
    </w:p>
    <w:p>
      <w:r>
        <w:rPr>
          <w:color w:val="555555"/>
          <w:sz w:val="17"/>
        </w:rPr>
        <w:t xml:space="preserve">Zitiervorschlag: § 2 VergWerkeRegV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https://recht.nulegal.eu/gesetze/VergWerkeRegV/2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