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VergWerkeRegV — Antragstellung</w:t>
      </w:r>
    </w:p>
    <w:p>
      <w:r>
        <w:rPr>
          <w:color w:val="555555"/>
          <w:sz w:val="18"/>
        </w:rPr>
        <w:t xml:space="preserve">Verordnung über das Register vergriffener 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Eintragung von Werken in das Register vergriffener Werke nach § 51 Absatz 1 Nummer 4 des Verwertungsgesellschaftengesetzes muss die Angaben nach § 52 Absatz 1 Satz 2 Nummer 1 bis 5 des Verwertungsgesellschaftengesetzes enthalten.</w:t>
      </w:r>
    </w:p>
    <w:p>
      <w:r>
        <w:t xml:space="preserve">(2) Die Verwertungsgesellschaft reicht den Antrag elektronisch über die vom Deutschen Patent- und Markenamt zur Verfügung gestellte Schnittstelle ein.</w:t>
      </w:r>
    </w:p>
    <w:p>
      <w:r>
        <w:rPr>
          <w:color w:val="555555"/>
          <w:sz w:val="17"/>
        </w:rPr>
        <w:t xml:space="preserve">Zitiervorschlag: § 1 VergWerkeRegV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https://recht.nulegal.eu/gesetze/VergWerkeRegV/1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VergWerkeRegV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