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9 VergStatVO — Erläuterung zu den Nachhaltigkeitskriterien im Sinne der Anlagen 1 bis 8</w:t>
      </w:r>
    </w:p>
    <w:p>
      <w:r>
        <w:rPr>
          <w:color w:val="555555"/>
          <w:sz w:val="18"/>
        </w:rPr>
        <w:t xml:space="preserve">Vergabestatistikverordnung</w:t>
      </w:r>
    </w:p>
    <w:p>
      <w:r>
        <w:rPr>
          <w:color w:val="555555"/>
          <w:sz w:val="18"/>
        </w:rPr>
        <w:t xml:space="preserve">Stand: 05.04.2020 (konsolidierte Textfassung, kein amtliches Inkrafttretensdatum)</w:t>
      </w:r>
    </w:p>
    <w:p>
      <w:r>
        <w:t xml:space="preserve">(Fundstelle: BGBl. I 2020, 710)</w:t>
      </w:r>
    </w:p>
    <w:p>
      <w:r>
        <w:t xml:space="preserve">In einem Vergabeverfahren können insbesondere folgende Nachhaltigkeitskriterien einbezogen werden. Die nachfolgende Aufzählung ist nicht abschließend.</w:t>
      </w:r>
    </w:p>
    <w:p>
      <w:r>
        <w:t xml:space="preserve">Umweltbezogene Kriterien</w:t>
      </w:r>
    </w:p>
    <w:p>
      <w:pPr>
        <w:ind w:left="420"/>
      </w:pPr>
      <w:r>
        <w:t xml:space="preserve">– Anforderung der Erfüllung der Voraussetzungen eines ISO-14024-Typ-I-Umweltzeichens (zum Beispiel Blauer Engel, Nordischer Schwan, Österreichisches Umweltzeichen) oder gleichwertige Kriterien</w:t>
      </w:r>
    </w:p>
    <w:p>
      <w:pPr>
        <w:ind w:left="420"/>
      </w:pPr>
      <w:r>
        <w:t xml:space="preserve">– Anforderung einer Übereinstimmung mit der durch die Verordnung (EG) Nr. 1221/2009 festgelegten Strategie für Umweltmanagement und -betriebsprüfung (EMAS)</w:t>
      </w:r>
    </w:p>
    <w:p>
      <w:pPr>
        <w:ind w:left="420"/>
      </w:pPr>
      <w:r>
        <w:t xml:space="preserve">– Anforderung einer Übereinstimmung mit einem Umweltmanagementsystem gemäß der Norm ISO 14001, mit Ausnahme der durch die Verordnung (EG) Nr. 1221/2009 festgelegten Strategie für Umweltmanagement und -betriebsprüfung (EMAS)</w:t>
      </w:r>
    </w:p>
    <w:p>
      <w:pPr>
        <w:ind w:left="420"/>
      </w:pPr>
      <w:r>
        <w:t xml:space="preserve">– Anforderung einer Übereinstimmung mit der höchsten Energieeffizienzklasse (im Einklang mit der Definition in verschiedenen Rechtsvorschriften, zum Beispiel in der Verordnung (EU) Nr. 626/2011 über Luftkonditionierer)</w:t>
      </w:r>
    </w:p>
    <w:p>
      <w:pPr>
        <w:ind w:left="420"/>
      </w:pPr>
      <w:r>
        <w:t xml:space="preserve">– Anforderung einer Übereinstimmung, für den größten Teil der betreffenden Beschaffung, mit der Verordnung (EG) Nr. 834/2007 über die ökologische/biologische Produktion und die Kennzeichnung von ökologischen/biologischen Produkten</w:t>
      </w:r>
    </w:p>
    <w:p>
      <w:pPr>
        <w:ind w:left="420"/>
      </w:pPr>
      <w:r>
        <w:t xml:space="preserve">– Vorgabe einer Kostenberechnung auf der Grundlage von Lebenszykluskosten</w:t>
      </w:r>
    </w:p>
    <w:p>
      <w:r>
        <w:t xml:space="preserve">Soziale Kriterien</w:t>
      </w:r>
    </w:p>
    <w:p>
      <w:pPr>
        <w:ind w:left="420"/>
      </w:pPr>
      <w:r>
        <w:t xml:space="preserve">– Beschäftigungsmöglichkeiten für Langzeitarbeitslose, Benachteiligte und/oder für Menschen mit Behinderungen</w:t>
      </w:r>
    </w:p>
    <w:p>
      <w:pPr>
        <w:ind w:left="420"/>
      </w:pPr>
      <w:r>
        <w:t xml:space="preserve">– Zugänglichkeit der Leistung für Menschen mit Behinderungen</w:t>
      </w:r>
    </w:p>
    <w:p>
      <w:pPr>
        <w:ind w:left="420"/>
      </w:pPr>
      <w:r>
        <w:t xml:space="preserve">– faire Arbeitsbedingungen</w:t>
      </w:r>
    </w:p>
    <w:p>
      <w:pPr>
        <w:ind w:left="420"/>
      </w:pPr>
      <w:r>
        <w:t xml:space="preserve">– Schutz der Menschen- und Arbeitnehmerrechte in globalen Wertschöpfungsketten</w:t>
      </w:r>
    </w:p>
    <w:p>
      <w:pPr>
        <w:ind w:left="420"/>
      </w:pPr>
      <w:r>
        <w:t xml:space="preserve">– Gleichstellung der Geschlechter</w:t>
      </w:r>
    </w:p>
    <w:p>
      <w:pPr>
        <w:ind w:left="420"/>
      </w:pPr>
      <w:r>
        <w:t xml:space="preserve">– Gleichstellung von ethnischen Gruppen</w:t>
      </w:r>
    </w:p>
    <w:p>
      <w:pPr>
        <w:ind w:left="420"/>
      </w:pPr>
      <w:r>
        <w:t xml:space="preserve">– Kernarbeitsnormen der Internationalen Arbeitsorganisation (IAO) entlang der globalen Wertschöpfungskette</w:t>
      </w:r>
    </w:p>
    <w:p>
      <w:r>
        <w:t xml:space="preserve">Innovative Kriterien</w:t>
      </w:r>
    </w:p>
    <w:p>
      <w:pPr>
        <w:ind w:left="420"/>
      </w:pPr>
      <w:r>
        <w:t xml:space="preserve">– Die in Auftrag gegebenen Bauleistungen, Lieferungen oder Dienstleistungen sind innovativ für die Organisation.</w:t>
      </w:r>
    </w:p>
    <w:p>
      <w:pPr>
        <w:ind w:left="420"/>
      </w:pPr>
      <w:r>
        <w:t xml:space="preserve">– Die in Auftrag gegebenen Bauleistungen, Lieferungen oder Dienstleistungen sind innovativ für den gesamten Markt.</w:t>
      </w:r>
    </w:p>
    <w:p>
      <w:pPr>
        <w:ind w:left="420"/>
      </w:pPr>
      <w:r>
        <w:t xml:space="preserve">– Die technischen Spezifikationen beruhen in erster Linie auf den Funktions- und Leistungsanforderungen und nicht auf der Beschreibung der technischen Lösung.</w:t>
      </w:r>
    </w:p>
    <w:p>
      <w:pPr>
        <w:ind w:left="420"/>
      </w:pPr>
      <w:r>
        <w:t xml:space="preserve">– Die in Auftrag gegebenen Bauleistungen, Lieferungen oder Dienstleistungen umfassen Forschungs- und Entwicklungstätigkeiten.</w:t>
      </w:r>
    </w:p>
    <w:p>
      <w:pPr>
        <w:ind w:left="420"/>
      </w:pPr>
      <w:r>
        <w:t xml:space="preserve">– Die in Auftrag gegebenen Bauleistungen, Lieferungen oder Dienstleistungen dürften die Wirksamkeit der Arbeit des Beschaffers erhöhen.</w:t>
      </w:r>
    </w:p>
    <w:p>
      <w:r>
        <w:rPr>
          <w:color w:val="555555"/>
          <w:sz w:val="17"/>
        </w:rPr>
        <w:t xml:space="preserve">Zitiervorschlag: Anlage 9 VergStatVO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https://recht.nulegal.eu/gesetze/VergStatVO/anlage-9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