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VergMstrV — Prüfung der fachtheoretischen Kenntnisse (Teil II)</w:t>
      </w:r>
    </w:p>
    <w:p>
      <w:r>
        <w:rPr>
          <w:color w:val="555555"/>
          <w:sz w:val="18"/>
        </w:rPr>
        <w:t xml:space="preserve">Vergoldermeisterverordnung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Fachzeichnen:Anfertigen von Stilzeichnungen;</w:t>
      </w:r>
    </w:p>
    <w:p>
      <w:pPr>
        <w:ind w:left="420"/>
      </w:pPr>
      <w:r>
        <w:t xml:space="preserve">2. Werkstoffkunde:Eigenschaften, Verwendung und Verarbeitung von Werk- und Hilfsstoffen;</w:t>
      </w:r>
    </w:p>
    <w:p>
      <w:pPr>
        <w:ind w:left="420"/>
      </w:pPr>
      <w:r>
        <w:t xml:space="preserve">3. Fachtechnologie:</w:t>
      </w:r>
    </w:p>
    <w:p>
      <w:pPr>
        <w:ind w:left="780"/>
      </w:pPr>
      <w:r>
        <w:t xml:space="preserve">a) berufsbezogene Werkzeuge, Geräte und Maschinen,</w:t>
      </w:r>
    </w:p>
    <w:p>
      <w:pPr>
        <w:ind w:left="780"/>
      </w:pPr>
      <w:r>
        <w:t xml:space="preserve">b) Vergolder- und Faßmalertechniken,</w:t>
      </w:r>
    </w:p>
    <w:p>
      <w:pPr>
        <w:ind w:left="780"/>
      </w:pPr>
      <w:r>
        <w:t xml:space="preserve">c) Aufbau, Arten und Eigenschaften der Untergründe,</w:t>
      </w:r>
    </w:p>
    <w:p>
      <w:pPr>
        <w:ind w:left="780"/>
      </w:pPr>
      <w:r>
        <w:t xml:space="preserve">d) berufsbezogene Restaurierungstechniken,</w:t>
      </w:r>
    </w:p>
    <w:p>
      <w:pPr>
        <w:ind w:left="780"/>
      </w:pPr>
      <w:r>
        <w:t xml:space="preserve">e) Rahmenanfertigung,</w:t>
      </w:r>
    </w:p>
    <w:p>
      <w:pPr>
        <w:ind w:left="780"/>
      </w:pPr>
      <w:r>
        <w:t xml:space="preserve">f) berufsbezogene Vorschriften der Arbeitssicherheit und des Arbeitsschutzes,</w:t>
      </w:r>
    </w:p>
    <w:p>
      <w:pPr>
        <w:ind w:left="780"/>
      </w:pPr>
      <w:r>
        <w:t xml:space="preserve">g) Verdingungsordnung für Bauleistungen, berufsbezogene Normen, Brandschutz sowie berufsbezogene Vorschriften des Umwelt-, insbesondere des Immissionsschutzes und der Abfallbeseitigung;</w:t>
      </w:r>
    </w:p>
    <w:p>
      <w:pPr>
        <w:ind w:left="420"/>
      </w:pPr>
      <w:r>
        <w:t xml:space="preserve">4. Stilkunde:</w:t>
      </w:r>
    </w:p>
    <w:p>
      <w:pPr>
        <w:ind w:left="780"/>
      </w:pPr>
      <w:r>
        <w:t xml:space="preserve">a) Stilepochen der Architektur, der Skulptur und der Malerei,</w:t>
      </w:r>
    </w:p>
    <w:p>
      <w:pPr>
        <w:ind w:left="780"/>
      </w:pPr>
      <w:r>
        <w:t xml:space="preserve">b) charakteristische Merkmale der verschiedenen Stilarten,</w:t>
      </w:r>
    </w:p>
    <w:p>
      <w:pPr>
        <w:ind w:left="780"/>
      </w:pPr>
      <w:r>
        <w:t xml:space="preserve">c) berufsbezogene Handwerks- und Kunstgeschichte,</w:t>
      </w:r>
    </w:p>
    <w:p>
      <w:pPr>
        <w:ind w:left="780"/>
      </w:pPr>
      <w:r>
        <w:t xml:space="preserve">d) Farben- und Formenlehre;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3.</w:t>
      </w:r>
    </w:p>
    <w:p>
      <w:r>
        <w:rPr>
          <w:color w:val="555555"/>
          <w:sz w:val="17"/>
        </w:rPr>
        <w:t xml:space="preserve">Zitiervorschlag: § 5 VergMstrV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