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VergMstrV — Arbeitsprobe</w:t>
      </w:r>
    </w:p>
    <w:p>
      <w:r>
        <w:rPr>
          <w:color w:val="555555"/>
          <w:sz w:val="18"/>
        </w:rPr>
        <w:t xml:space="preserve">Vergoldermeisterverordnung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vier der nachstehend genannten Arbeiten auszuführen:</w:t>
      </w:r>
    </w:p>
    <w:p>
      <w:pPr>
        <w:ind w:left="420"/>
      </w:pPr>
      <w:r>
        <w:t xml:space="preserve">1. Gravieren nach vorgegebener Zeichnung,</w:t>
      </w:r>
    </w:p>
    <w:p>
      <w:pPr>
        <w:ind w:left="420"/>
      </w:pPr>
      <w:r>
        <w:t xml:space="preserve">2. Auftragen von Ornamenten,</w:t>
      </w:r>
    </w:p>
    <w:p>
      <w:pPr>
        <w:ind w:left="420"/>
      </w:pPr>
      <w:r>
        <w:t xml:space="preserve">3. Punzieren nach vorgegebener Zeichnung,</w:t>
      </w:r>
    </w:p>
    <w:p>
      <w:pPr>
        <w:ind w:left="420"/>
      </w:pPr>
      <w:r>
        <w:t xml:space="preserve">4. Radieren auf Gold und Silber,</w:t>
      </w:r>
    </w:p>
    <w:p>
      <w:pPr>
        <w:ind w:left="420"/>
      </w:pPr>
      <w:r>
        <w:t xml:space="preserve">5. Lasieren,</w:t>
      </w:r>
    </w:p>
    <w:p>
      <w:pPr>
        <w:ind w:left="420"/>
      </w:pPr>
      <w:r>
        <w:t xml:space="preserve">6. Ausführen einer Brokatmalerei,</w:t>
      </w:r>
    </w:p>
    <w:p>
      <w:pPr>
        <w:ind w:left="420"/>
      </w:pPr>
      <w:r>
        <w:t xml:space="preserve">7. Marmorieren,</w:t>
      </w:r>
    </w:p>
    <w:p>
      <w:pPr>
        <w:ind w:left="420"/>
      </w:pPr>
      <w:r>
        <w:t xml:space="preserve">8. Ausführen von Pinselschriften,</w:t>
      </w:r>
    </w:p>
    <w:p>
      <w:pPr>
        <w:ind w:left="420"/>
      </w:pPr>
      <w:r>
        <w:t xml:space="preserve">9. Ölvergolden,</w:t>
      </w:r>
    </w:p>
    <w:p>
      <w:pPr>
        <w:ind w:left="420"/>
      </w:pPr>
      <w:r>
        <w:t xml:space="preserve">10. Ausführen einer Goldgrundmalerei.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VergMstrV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