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VergMindV 2023 — Begriffsbestimmung</w:t>
      </w:r>
    </w:p>
    <w:p>
      <w:r>
        <w:rPr>
          <w:color w:val="555555"/>
          <w:sz w:val="18"/>
        </w:rPr>
        <w:t xml:space="preserve">Vergabemindestentgeltverordnung 2023</w:t>
      </w:r>
    </w:p>
    <w:p>
      <w:r>
        <w:rPr>
          <w:color w:val="555555"/>
          <w:sz w:val="18"/>
        </w:rPr>
        <w:t xml:space="preserve">Stand: 01.02.2023 (konsolidierte Textfassung, kein amtliches Inkrafttretensdatum)</w:t>
      </w:r>
    </w:p>
    <w:p>
      <w:r>
        <w:t xml:space="preserve">Arbeitnehmerinnen und Arbeitnehmer im pädagogischen Bereich sind solche, die mit der Aus- und Weiterbildung, mit der Vermittlung oder mit der Betreuung von Teilnehmerinnen oder Teilnehmern an Aus- und Weiterbildungsmaßnahmen nach dem Zweiten oder Dritten Buch Sozialgesetzbuch betraut sind.</w:t>
      </w:r>
    </w:p>
    <w:p>
      <w:r>
        <w:rPr>
          <w:color w:val="555555"/>
          <w:sz w:val="17"/>
        </w:rPr>
        <w:t xml:space="preserve">Zitiervorschlag: § 2 VergMindV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https://recht.nulegal.eu/gesetze/VergMindV%202023/2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