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VergMindV 2019 — Fälligkeit des Mindestentgelts</w:t>
      </w:r>
    </w:p>
    <w:p>
      <w:r>
        <w:rPr>
          <w:color w:val="555555"/>
          <w:sz w:val="18"/>
        </w:rPr>
        <w:t xml:space="preserve">Vergabemindestentgeltverordnung 2019</w:t>
      </w:r>
    </w:p>
    <w:p>
      <w:r>
        <w:rPr>
          <w:color w:val="555555"/>
          <w:sz w:val="18"/>
        </w:rPr>
        <w:t xml:space="preserve">Historische Fassung: Stand 10.06.2019 bis 01.01.2023. Dies ist nicht die aktuelle Fassung.</w:t>
      </w:r>
    </w:p>
    <w:p>
      <w:r>
        <w:t xml:space="preserve">(1) Der Anspruch auf das Mindestentgelt wird spätestens am 15. des Kalendermonats fällig, der auf den Kalendermonat folgt, für den das Mindestentgelt zu zahlen ist.</w:t>
      </w:r>
    </w:p>
    <w:p>
      <w:r>
        <w:t xml:space="preserve">(2) Bei Vereinbarung eines verstetigten Monatsentgelts, das sich nach der Formel Mindeststundenentgelt x vereinbarte regelmäßige Wochenarbeitszeit x 4,348 berechnet, gilt Absatz 2 nicht für die über die regelmäßige monatliche Arbeitszeit hinaus entstandenen Arbeitsstunden, wenn eine Regelung zur Arbeitszeitflexibilisierung mit einem Arbeitszeitkonto besteht. Das Arbeitszeitkonto darf höchstens 100 Plusstunden umfassen. Plusstunden auf dem Arbeitszeitkonto sind innerhalb eines Zeitraums von zwölf Monaten nach dem Kalendermonat ihrer Entstehung abzugelten oder durch bezahlte Arbeitsbefreiung auszugleichen.</w:t>
      </w:r>
    </w:p>
    <w:p>
      <w:r>
        <w:rPr>
          <w:color w:val="555555"/>
          <w:sz w:val="17"/>
        </w:rPr>
        <w:t xml:space="preserve">Zitiervorschlag: § 5 VergMindV 2019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https://recht.nulegal.eu/gesetze/VergMindV%202019/5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