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VergMindV 2019 — Begriffsbestimmung</w:t>
      </w:r>
    </w:p>
    <w:p>
      <w:r>
        <w:rPr>
          <w:color w:val="555555"/>
          <w:sz w:val="18"/>
        </w:rPr>
        <w:t xml:space="preserve">Vergabemindestentgeltverordnung 2019</w:t>
      </w:r>
    </w:p>
    <w:p>
      <w:r>
        <w:rPr>
          <w:color w:val="555555"/>
          <w:sz w:val="18"/>
        </w:rPr>
        <w:t xml:space="preserve">Historische Fassung: Stand 10.06.2019 bis 01.01.2023. Dies ist nicht die aktuelle Fassung.</w:t>
      </w:r>
    </w:p>
    <w:p>
      <w:r>
        <w:t xml:space="preserve">Arbeitnehmerinnen und Arbeitnehmer im pädagogischen Bereich sind mit der Aus- und Weiterbildung, Vermittlung oder Betreuung von Teilnehmerinnen oder Teilnehmern an Aus- und Weiterbildungsmaßnahmen nach dem Zweiten oder Dritten Buch Sozialgesetzbuch betraut.</w:t>
      </w:r>
    </w:p>
    <w:p>
      <w:r>
        <w:rPr>
          <w:color w:val="555555"/>
          <w:sz w:val="17"/>
        </w:rPr>
        <w:t xml:space="preserve">Zitiervorschlag: § 2 VergMindV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https://recht.nulegal.eu/gesetze/VergMindV%202019/2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