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63d VerfGHG NRW - (Nordrhein-Westfalen) — (Stellungnahme und Entscheidung)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Berichterstatter des beanstandeten Verfahrens soll binnen einem Monat nach Eingang der Begründung der Verzögerungsbeschwerde eine Stellungnahme vorlegen.</w:t>
      </w:r>
    </w:p>
    <w:p>
      <w:r>
        <w:t xml:space="preserve">(2) Die Beschwerdekammer entscheidet ohne mündliche Verhandlung. Der Beschluss über die Verzögerungsbeschwerde bedarf keiner Begründung.</w:t>
      </w:r>
    </w:p>
    <w:p>
      <w:r>
        <w:t xml:space="preserve">(3) Die Entscheidung ist unanfechtbar.</w:t>
      </w:r>
    </w:p>
    <w:p>
      <w:r>
        <w:rPr>
          <w:color w:val="555555"/>
          <w:sz w:val="17"/>
        </w:rPr>
        <w:t xml:space="preserve">Zitiervorschlag: § 63d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https://recht.nulegal.eu/gesetze/VerfGHG%20NRW%20-/63d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