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63c VerfGHG NRW - (Nordrhein-Westfalen) — (Entscheidung über die Verzögerungsbeschwerde)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Verzögerungsbeschwerde entscheidet die Beschwerdekammer, der drei Richter angehören, von denen mindestens einer Berufsrichter sein muss. Die regelmäßige Amtszeit beträgt zwei Jahre.</w:t>
      </w:r>
    </w:p>
    <w:p>
      <w:r>
        <w:t xml:space="preserve">(2) Für den Fall, dass der Berichterstatter des beanstandeten Verfahrens Mitglied der Beschwerdekammer ist, ist er von der Mitwirkung am Beschwerdeverfahren ausgeschlossen.</w:t>
      </w:r>
    </w:p>
    <w:p>
      <w:r>
        <w:t xml:space="preserve">(3) Das Nähere über die Besetzung der Beschwerdekammer regelt die Geschäftsordnung.</w:t>
      </w:r>
    </w:p>
    <w:p>
      <w:r>
        <w:rPr>
          <w:color w:val="555555"/>
          <w:sz w:val="17"/>
        </w:rPr>
        <w:t xml:space="preserve">Zitiervorschlag: § 63c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https://recht.nulegal.eu/gesetze/VerfGHG%20NRW%20-/63c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