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63 VerfGHG NRW - (Nordrhein-Westfalen) — (Kostenentscheidung)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Verfahren vor dem Verfassungsgerichtshof ist, soweit dieses Gesetz nichts anderes bestimmt, kostenfrei.</w:t>
      </w:r>
    </w:p>
    <w:p>
      <w:r>
        <w:t xml:space="preserve">(2) Erweist sich ein Antrag nach Artikel 32 als unzulässig oder unbegründet, so sind dem Antragsgegner die notwendigen Auslagen einschließlich der Kosten der Verteidigung zu ersetzen.</w:t>
      </w:r>
    </w:p>
    <w:p>
      <w:r>
        <w:t xml:space="preserve">(3) Erweist sich ein Antrag nach Artikel 32 als begründet, so kann dem Antragsgegner die Erstattung der notwendigen Auslagen der Gegenseite ganz oder teilweise auferlegt werden.</w:t>
      </w:r>
    </w:p>
    <w:p>
      <w:r>
        <w:t xml:space="preserve">(4) Erweist sich eine Verfassungsbeschwerde als begründet, so sind dem Beschwerdeführer die notwendigen Auslagen ganz oder teilweise zu erstatten.</w:t>
      </w:r>
    </w:p>
    <w:p>
      <w:r>
        <w:t xml:space="preserve">(5) In den übrigen Fällen kann der Verfassungsgerichtshof volle oder teilweise Erstattung der notwendigen Auslagen anordnen.</w:t>
      </w:r>
    </w:p>
    <w:p>
      <w:r>
        <w:t xml:space="preserve">(6) Wird ein Antrag als offensichtlich unzulässig verworfen oder als offensichtlich unbegründet zurückgewiesen, so kann der Verfassungsgerichtshof dem Antragsteller eine Gebühr von bis zu 1 000 Euro auferlegen, wenn die Stellung des Antrags einen Missbrauch darstellt.</w:t>
      </w:r>
    </w:p>
    <w:p>
      <w:r>
        <w:t xml:space="preserve">Fünfter Teil</w:t>
      </w:r>
    </w:p>
    <w:p>
      <w:r>
        <w:t xml:space="preserve">Verzögerungsbeschwerde</w:t>
      </w:r>
    </w:p>
    <w:p>
      <w:r>
        <w:rPr>
          <w:color w:val="555555"/>
          <w:sz w:val="17"/>
        </w:rPr>
        <w:t xml:space="preserve">Zitiervorschlag: § 63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https://recht.nulegal.eu/gesetze/VerfGHG%20NRW%20-/63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