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62 VerfGHG NRW - (Nordrhein-Westfalen) — (Verfahrensvorschriften)</w:t>
      </w:r>
    </w:p>
    <w:p>
      <w:r>
        <w:rPr>
          <w:color w:val="555555"/>
          <w:sz w:val="18"/>
        </w:rPr>
        <w:t xml:space="preserve">Verfassungsgerichtshofgesetz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Verfahren vor dem Verfassungsgerichtshof in Verfahren gemäß § 12 Nr. 2 und 4 des Gesetzes richtet sich nach den allgemeinen Verfahrensvorschriften, soweit nicht die gemäß Artikel 33 Abs. 4 und Artikel 68 Abs. 5 der Landesverfassung erlassenen Gesetze etwas anderes bestimmen.</w:t>
      </w:r>
    </w:p>
    <w:p>
      <w:r>
        <w:t xml:space="preserve">Vierter Teil</w:t>
      </w:r>
    </w:p>
    <w:p>
      <w:r>
        <w:t xml:space="preserve">Kosten</w:t>
      </w:r>
    </w:p>
    <w:p>
      <w:r>
        <w:rPr>
          <w:color w:val="555555"/>
          <w:sz w:val="17"/>
        </w:rPr>
        <w:t xml:space="preserve">Zitiervorschlag: § 62 VerfGHG NRW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https://recht.nulegal.eu/gesetze/VerfGHG%20NRW%20-/62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62 VerfGHG NRW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