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VerfGHG NRW - (Nordrhein-Westfalen) — (Inhalt der Entscheidung)</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der Verfassungsbeschwerde stattgegeben, so ist in der Entscheidung festzustellen, welche Vorschrift der Verfassung und durch welche Handlung oder Unterlassung sie verletzt wurde. Der Verfassungsgerichtshof kann zugleich aussprechen, dass auch jede Wiederholung der beanstandeten Maßnahme die Verfassung verletzt.</w:t>
      </w:r>
    </w:p>
    <w:p>
      <w:r>
        <w:t xml:space="preserve">(2) Wird der Verfassungsbeschwerde gegen eine Entscheidung stattgegeben, so hebt der Verfassungsgerichtshof die Entscheidung auf, in den Fällen des § 54 Satz 1 verweist er die Sache an ein zuständiges Gericht zurück.</w:t>
      </w:r>
    </w:p>
    <w:p>
      <w:r>
        <w:t xml:space="preserve">(3) Wird der Verfassungsbeschwerde gegen ein Gesetz stattgegeben, so ist das Gesetz als mit der Verfassung unvereinbar oder für nichtig zu erklären. Das Gleiche gilt, wenn der Verfassungsbeschwerde gemäß Absatz 2 stattgegeben wird, weil die aufgehobene Entscheidung auf einem verfassungswidrigen Gesetz beruht.</w:t>
      </w:r>
    </w:p>
    <w:p>
      <w:r>
        <w:t xml:space="preserve">Neuntes Kapitel</w:t>
      </w:r>
    </w:p>
    <w:p>
      <w:r>
        <w:t xml:space="preserve">Entscheidungen nach Artikel 33 und 68 der Verfassung</w:t>
      </w:r>
    </w:p>
    <w:p>
      <w:r>
        <w:rPr>
          <w:color w:val="555555"/>
          <w:sz w:val="17"/>
        </w:rPr>
        <w:t xml:space="preserve">Zitiervorschlag: § 61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