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VerfGHG NRW - (Nordrhein-Westfalen) — (Vorsitz)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Präsident führt den Vorsitz und nimmt außerhalb der Sitzungen die Befugnisse des Verfassungsgerichtshofs wahr.</w:t>
      </w:r>
    </w:p>
    <w:p>
      <w:r>
        <w:t xml:space="preserve">(2) Ständiger Vertreter des Präsidenten ist der Vizepräsident.</w:t>
      </w:r>
    </w:p>
    <w:p>
      <w:r>
        <w:t xml:space="preserve">(3) Sind der Präsident und der Vizepräsident verhindert, nimmt das lebensälteste Mitglied des Verfassungsgerichtshofs die Befugnisse des Präsidenten wahr.</w:t>
      </w:r>
    </w:p>
    <w:p>
      <w:r>
        <w:rPr>
          <w:color w:val="555555"/>
          <w:sz w:val="17"/>
        </w:rPr>
        <w:t xml:space="preserve">Zitiervorschlag: § 6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