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 VerfGHG NRW - (Nordrhein-Westfalen) — (Gelegenheit zur Äußerung)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Verfassungsgerichtshof gibt dem Verfassungsorgan, dessen Handlung oder Unterlassung in der Verfassungsbeschwerde beanstandet wird, Gelegenheit, sich binnen einer zu bestimmenden Frist zu äußern.</w:t>
      </w:r>
    </w:p>
    <w:p>
      <w:r>
        <w:t xml:space="preserve">(2) Richtet sich die Verfassungsbeschwerde gegen die Handlung oder Unterlassung einer Behörde des Landes, ist dem zuständigen Ministerium Gelegenheit zur Äußerung zu geben.</w:t>
      </w:r>
    </w:p>
    <w:p>
      <w:r>
        <w:t xml:space="preserve">(3) Richtet sich die Verfassungsbeschwerde gegen eine gerichtliche Entscheidung, gibt der Verfassungsgerichtshof auch demjenigen, der durch die Entscheidung begünstigt ist, Gelegenheit zur Äußerung.</w:t>
      </w:r>
    </w:p>
    <w:p>
      <w:r>
        <w:t xml:space="preserve">(4) Richtet sich die Verfassungsbeschwerde unmittelbar oder mittelbar gegen ein Gesetz, so sind dem Landtag und der Landesregierung Gelegenheit zur Äußerung zu geben.</w:t>
      </w:r>
    </w:p>
    <w:p>
      <w:r>
        <w:t xml:space="preserve">(5) Die nach den Absätzen 1, 2 und 4 zur Äußerung Berechtigten können dem Verfahren beitreten.</w:t>
      </w:r>
    </w:p>
    <w:p>
      <w:r>
        <w:rPr>
          <w:color w:val="555555"/>
          <w:sz w:val="17"/>
        </w:rPr>
        <w:t xml:space="preserve">Zitiervorschlag: § 57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 VerfGHG NRW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