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49b VerfGHG NRW - (Nordrhein-Westfalen) — (Ausschluss von einstweiliger Anordnung und Wiederaufnahme)</w:t>
      </w:r>
    </w:p>
    <w:p>
      <w:r>
        <w:rPr>
          <w:color w:val="555555"/>
          <w:sz w:val="18"/>
        </w:rPr>
        <w:t xml:space="preserve">Verfassungsgerichtshofgesetz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§§ 27 und 30 finden keine Anwendung.</w:t>
      </w:r>
    </w:p>
    <w:p>
      <w:r>
        <w:t xml:space="preserve">Sechstes Kapitel</w:t>
      </w:r>
    </w:p>
    <w:p>
      <w:r>
        <w:t xml:space="preserve">Entscheidungen nach Artikel 100 des Grundgesetzes</w:t>
      </w:r>
    </w:p>
    <w:p>
      <w:r>
        <w:t xml:space="preserve">für die Bundesrepublik Deutschland</w:t>
      </w:r>
    </w:p>
    <w:p>
      <w:r>
        <w:rPr>
          <w:color w:val="555555"/>
          <w:sz w:val="17"/>
        </w:rPr>
        <w:t xml:space="preserve">Zitiervorschlag: § 49b VerfGHG NRW -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https://recht.nulegal.eu/gesetze/VerfGHG%20NRW%20-/49b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