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49a VerfGHG NRW - (Nordrhein-Westfalen) — (Verfahrensvorschriften)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Beschwerdeberechtigt sind Vereinigungen und Parteien, denen die Anerkennung als wahlvorschlagsberechtigte Partei nach § 17a Absatz 4 des Landeswahlgesetzes versagt wurde.</w:t>
      </w:r>
    </w:p>
    <w:p>
      <w:r>
        <w:t xml:space="preserve">(2) Die Beschwerde ist binnen einer Frist von vier Tagen nach Bekanntgabe der Entscheidung in der Sitzung des Landeswahlausschusses nach § 17a Absatz 4 Satz 2 des Landeswahlgesetzes zu erheben und zu begründen.</w:t>
      </w:r>
    </w:p>
    <w:p>
      <w:r>
        <w:t xml:space="preserve">(3) Dem Landeswahlausschuss ist Gelegenheit zur Äußerung zu geben.</w:t>
      </w:r>
    </w:p>
    <w:p>
      <w:r>
        <w:t xml:space="preserve">(4) Der Verfassungsgerichtshof kann ohne Durchführung einer mündlichen Verhandlung entscheiden.</w:t>
      </w:r>
    </w:p>
    <w:p>
      <w:r>
        <w:t xml:space="preserve">(5) Der Verfassungsgerichtshof kann seine Entscheidung ohne Begründung bekannt geben. In diesem Fall ist die Begründung der Beschwerdeführerin und dem Landeswahlausschuss gesondert zu übermitteln.</w:t>
      </w:r>
    </w:p>
    <w:p>
      <w:r>
        <w:rPr>
          <w:color w:val="555555"/>
          <w:sz w:val="17"/>
        </w:rPr>
        <w:t xml:space="preserve">Zitiervorschlag: § 49a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https://recht.nulegal.eu/gesetze/VerfGHG%20NRW%20-/49a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