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46 VerfGHG NRW - (Nordrhein-Westfalen) — (Inhalt der Entscheidung)</w:t>
      </w:r>
    </w:p>
    <w:p>
      <w:r>
        <w:rPr>
          <w:color w:val="555555"/>
          <w:sz w:val="18"/>
        </w:rPr>
        <w:t xml:space="preserve">Verfassungsgerichtshofgesetz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Verfassungsgerichtshof stellt in seiner Entscheidung fest, ob die beanstandete Maßnahme oder Unterlassung des Antragsgegners gegen eine Bestimmung der Verfassung verstößt. Die Bestimmung ist zu bezeichnen.</w:t>
      </w:r>
    </w:p>
    <w:p>
      <w:r>
        <w:t xml:space="preserve">(2) Der Verfassungsgerichtshof kann in der Entscheidungsformel zugleich eine für die Auslegung der Bestimmung der Verfassung erhebliche Rechtsfrage entscheiden, von der die Feststellung gemäß Absatz 1 abhängt.</w:t>
      </w:r>
    </w:p>
    <w:p>
      <w:r>
        <w:t xml:space="preserve">Viertes Kapitel</w:t>
      </w:r>
    </w:p>
    <w:p>
      <w:r>
        <w:t xml:space="preserve">Entscheidungen über Meinungsverschiedenheiten</w:t>
      </w:r>
    </w:p>
    <w:p>
      <w:r>
        <w:t xml:space="preserve">nach Artikel 75 Nr. 3 der Verfassung</w:t>
      </w:r>
    </w:p>
    <w:p>
      <w:r>
        <w:rPr>
          <w:color w:val="555555"/>
          <w:sz w:val="17"/>
        </w:rPr>
        <w:t xml:space="preserve">Zitiervorschlag: § 46 VerfGHG NRW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https://recht.nulegal.eu/gesetze/VerfGHG%20NRW%20-/46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